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03" w:rsidRPr="006E6AB2" w:rsidRDefault="00DA4A5A" w:rsidP="006E6AB2">
      <w:pPr>
        <w:pStyle w:val="PolicyName"/>
      </w:pPr>
      <w:r>
        <w:t>Client</w:t>
      </w:r>
      <w:r w:rsidR="005941D3">
        <w:t>/Participant</w:t>
      </w:r>
      <w:r>
        <w:t xml:space="preserve"> Confidentiality</w:t>
      </w:r>
    </w:p>
    <w:tbl>
      <w:tblPr>
        <w:tblStyle w:val="TableGrid"/>
        <w:tblW w:w="9360"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48"/>
        <w:gridCol w:w="1632"/>
        <w:gridCol w:w="1524"/>
        <w:gridCol w:w="3156"/>
      </w:tblGrid>
      <w:tr w:rsidR="00234A10" w:rsidRPr="00E05289" w:rsidTr="00BB6E29">
        <w:tc>
          <w:tcPr>
            <w:tcW w:w="3048" w:type="dxa"/>
            <w:tcBorders>
              <w:bottom w:val="nil"/>
              <w:right w:val="single" w:sz="12" w:space="0" w:color="C00000"/>
            </w:tcBorders>
          </w:tcPr>
          <w:p w:rsidR="00234A10" w:rsidRPr="00E05289" w:rsidRDefault="00234A10" w:rsidP="00234A10">
            <w:pPr>
              <w:spacing w:before="60"/>
              <w:jc w:val="center"/>
              <w:rPr>
                <w:b/>
              </w:rPr>
            </w:pPr>
            <w:r w:rsidRPr="00E05289">
              <w:rPr>
                <w:b/>
              </w:rPr>
              <w:t>Issue Date:</w:t>
            </w:r>
          </w:p>
        </w:tc>
        <w:tc>
          <w:tcPr>
            <w:tcW w:w="3156" w:type="dxa"/>
            <w:gridSpan w:val="2"/>
            <w:tcBorders>
              <w:top w:val="single" w:sz="12" w:space="0" w:color="C00000"/>
              <w:left w:val="single" w:sz="12" w:space="0" w:color="C00000"/>
              <w:bottom w:val="nil"/>
              <w:right w:val="single" w:sz="12" w:space="0" w:color="C00000"/>
            </w:tcBorders>
          </w:tcPr>
          <w:p w:rsidR="00234A10" w:rsidRPr="00E05289" w:rsidRDefault="00234A10" w:rsidP="00234A10">
            <w:pPr>
              <w:spacing w:before="60"/>
              <w:jc w:val="center"/>
              <w:rPr>
                <w:b/>
              </w:rPr>
            </w:pPr>
            <w:r w:rsidRPr="00E05289">
              <w:rPr>
                <w:b/>
              </w:rPr>
              <w:t>Effective Date:</w:t>
            </w:r>
          </w:p>
        </w:tc>
        <w:tc>
          <w:tcPr>
            <w:tcW w:w="3156" w:type="dxa"/>
            <w:tcBorders>
              <w:left w:val="single" w:sz="12" w:space="0" w:color="C00000"/>
              <w:bottom w:val="nil"/>
            </w:tcBorders>
          </w:tcPr>
          <w:p w:rsidR="00234A10" w:rsidRPr="00E05289" w:rsidRDefault="00234A10" w:rsidP="00234A10">
            <w:pPr>
              <w:spacing w:before="60"/>
              <w:jc w:val="center"/>
              <w:rPr>
                <w:b/>
              </w:rPr>
            </w:pPr>
            <w:r w:rsidRPr="00E05289">
              <w:rPr>
                <w:b/>
              </w:rPr>
              <w:t>Approved By:</w:t>
            </w:r>
          </w:p>
        </w:tc>
      </w:tr>
      <w:tr w:rsidR="00234A10" w:rsidTr="00BB6E29">
        <w:tc>
          <w:tcPr>
            <w:tcW w:w="3048" w:type="dxa"/>
            <w:tcBorders>
              <w:top w:val="nil"/>
              <w:bottom w:val="single" w:sz="4" w:space="0" w:color="C00000"/>
              <w:right w:val="single" w:sz="12" w:space="0" w:color="C00000"/>
            </w:tcBorders>
          </w:tcPr>
          <w:sdt>
            <w:sdtPr>
              <w:id w:val="1801195907"/>
              <w:placeholder>
                <w:docPart w:val="7471D684A74D4AA09B0A9AAC9799715D"/>
              </w:placeholder>
            </w:sdtPr>
            <w:sdtEndPr/>
            <w:sdtContent>
              <w:p w:rsidR="00234A10" w:rsidRDefault="00DA4A5A" w:rsidP="00DA4A5A">
                <w:pPr>
                  <w:spacing w:after="60"/>
                  <w:jc w:val="center"/>
                </w:pPr>
                <w:r>
                  <w:t>February 1994</w:t>
                </w:r>
              </w:p>
            </w:sdtContent>
          </w:sdt>
        </w:tc>
        <w:tc>
          <w:tcPr>
            <w:tcW w:w="3156" w:type="dxa"/>
            <w:gridSpan w:val="2"/>
            <w:tcBorders>
              <w:top w:val="nil"/>
              <w:left w:val="single" w:sz="12" w:space="0" w:color="C00000"/>
              <w:bottom w:val="single" w:sz="12" w:space="0" w:color="C00000"/>
              <w:right w:val="single" w:sz="12" w:space="0" w:color="C00000"/>
            </w:tcBorders>
          </w:tcPr>
          <w:sdt>
            <w:sdtPr>
              <w:id w:val="-10216103"/>
              <w:placeholder>
                <w:docPart w:val="7F91DAC278B9485B96059247C1F1196A"/>
              </w:placeholder>
            </w:sdtPr>
            <w:sdtEndPr/>
            <w:sdtContent>
              <w:p w:rsidR="00234A10" w:rsidRDefault="001C1D42" w:rsidP="00DA4A5A">
                <w:pPr>
                  <w:spacing w:after="60"/>
                  <w:jc w:val="center"/>
                </w:pPr>
                <w:r>
                  <w:t>April 2017</w:t>
                </w:r>
              </w:p>
            </w:sdtContent>
          </w:sdt>
        </w:tc>
        <w:tc>
          <w:tcPr>
            <w:tcW w:w="3156" w:type="dxa"/>
            <w:tcBorders>
              <w:top w:val="nil"/>
              <w:left w:val="single" w:sz="12" w:space="0" w:color="C00000"/>
              <w:bottom w:val="single" w:sz="4" w:space="0" w:color="C00000"/>
            </w:tcBorders>
          </w:tcPr>
          <w:sdt>
            <w:sdtPr>
              <w:id w:val="-1440593981"/>
              <w:placeholder>
                <w:docPart w:val="0D44A08F892247979EB45592C171502C"/>
              </w:placeholder>
            </w:sdtPr>
            <w:sdtEndPr/>
            <w:sdtContent>
              <w:p w:rsidR="00234A10" w:rsidRDefault="00DA4A5A" w:rsidP="00DA4A5A">
                <w:pPr>
                  <w:spacing w:after="60"/>
                  <w:jc w:val="center"/>
                </w:pPr>
                <w:r>
                  <w:t>Management Team</w:t>
                </w:r>
              </w:p>
            </w:sdtContent>
          </w:sdt>
        </w:tc>
      </w:tr>
      <w:tr w:rsidR="00234A10" w:rsidTr="00164E53">
        <w:tc>
          <w:tcPr>
            <w:tcW w:w="4680" w:type="dxa"/>
            <w:gridSpan w:val="2"/>
            <w:tcBorders>
              <w:right w:val="single" w:sz="4" w:space="0" w:color="C00000"/>
            </w:tcBorders>
          </w:tcPr>
          <w:p w:rsidR="00234A10" w:rsidRPr="00DF4FE0" w:rsidRDefault="00234A10" w:rsidP="00DA4A5A">
            <w:pPr>
              <w:spacing w:before="60" w:after="60"/>
            </w:pPr>
            <w:r w:rsidRPr="003A1EE6">
              <w:rPr>
                <w:b/>
              </w:rPr>
              <w:t>Next Review Date:</w:t>
            </w:r>
            <w:r>
              <w:t xml:space="preserve">  </w:t>
            </w:r>
            <w:sdt>
              <w:sdtPr>
                <w:id w:val="1011332509"/>
                <w:placeholder>
                  <w:docPart w:val="9F56844CE97241678C5FE95FC387A637"/>
                </w:placeholder>
              </w:sdtPr>
              <w:sdtEndPr/>
              <w:sdtContent>
                <w:r w:rsidR="001C1D42">
                  <w:t>April 2020</w:t>
                </w:r>
              </w:sdtContent>
            </w:sdt>
          </w:p>
        </w:tc>
        <w:tc>
          <w:tcPr>
            <w:tcW w:w="4680" w:type="dxa"/>
            <w:gridSpan w:val="2"/>
            <w:tcBorders>
              <w:left w:val="single" w:sz="4" w:space="0" w:color="C00000"/>
            </w:tcBorders>
          </w:tcPr>
          <w:p w:rsidR="00234A10" w:rsidRDefault="00234A10" w:rsidP="00DA4A5A">
            <w:pPr>
              <w:spacing w:before="60" w:after="60"/>
              <w:ind w:right="-18"/>
              <w:jc w:val="right"/>
            </w:pPr>
            <w:r w:rsidRPr="003A1EE6">
              <w:rPr>
                <w:b/>
              </w:rPr>
              <w:t>By:</w:t>
            </w:r>
            <w:r>
              <w:t xml:space="preserve">  </w:t>
            </w:r>
            <w:sdt>
              <w:sdtPr>
                <w:id w:val="915275154"/>
                <w:placeholder>
                  <w:docPart w:val="7471D684A74D4AA09B0A9AAC9799715D"/>
                </w:placeholder>
              </w:sdtPr>
              <w:sdtEndPr/>
              <w:sdtContent>
                <w:r w:rsidR="00DA4A5A">
                  <w:t>Director, Clinical Programs</w:t>
                </w:r>
              </w:sdtContent>
            </w:sdt>
          </w:p>
        </w:tc>
      </w:tr>
    </w:tbl>
    <w:p w:rsidR="00913275" w:rsidRDefault="00913275" w:rsidP="000557AF"/>
    <w:p w:rsidR="00913275" w:rsidRDefault="00913275" w:rsidP="000557AF"/>
    <w:p w:rsidR="00913275" w:rsidRPr="00CA6B12" w:rsidRDefault="00CA6B12" w:rsidP="000557AF">
      <w:pPr>
        <w:pStyle w:val="Heading2"/>
      </w:pPr>
      <w:r>
        <w:t>–</w:t>
      </w:r>
      <w:r w:rsidR="004D5D29" w:rsidRPr="00CA6B12">
        <w:t xml:space="preserve"> </w:t>
      </w:r>
      <w:r w:rsidR="00504FCB" w:rsidRPr="00CA6B12">
        <w:t>Purpose</w:t>
      </w:r>
      <w:r>
        <w:t xml:space="preserve"> </w:t>
      </w:r>
    </w:p>
    <w:p w:rsidR="00913275" w:rsidRDefault="00DA4A5A" w:rsidP="000557AF">
      <w:r>
        <w:t xml:space="preserve">LAMP is bound by the </w:t>
      </w:r>
      <w:r w:rsidRPr="0070123F">
        <w:rPr>
          <w:b/>
        </w:rPr>
        <w:t>Freedom of Information and Protection of Privacy Act</w:t>
      </w:r>
      <w:r>
        <w:t xml:space="preserve">, by the </w:t>
      </w:r>
      <w:r w:rsidRPr="0070123F">
        <w:rPr>
          <w:b/>
        </w:rPr>
        <w:t>Personal Health Information Protection Act, 2004</w:t>
      </w:r>
      <w:r>
        <w:t xml:space="preserve"> and by </w:t>
      </w:r>
      <w:r w:rsidR="00D04EC9">
        <w:t>client/</w:t>
      </w:r>
      <w:r w:rsidR="00E81762">
        <w:t>participant</w:t>
      </w:r>
      <w:r>
        <w:t xml:space="preserve"> rights regulations which vary by discipline.  It is recognized that some disciplines have distinct procedures and special forms for the protection of </w:t>
      </w:r>
      <w:r w:rsidR="005941D3">
        <w:t>client/participant</w:t>
      </w:r>
      <w:r>
        <w:t xml:space="preserve"> confidentiality.  At the same time, everyone who registers for one or more LAMP programs is considered to be a LAMP </w:t>
      </w:r>
      <w:r w:rsidR="005941D3">
        <w:t>client/participant</w:t>
      </w:r>
      <w:r>
        <w:t xml:space="preserve">, and </w:t>
      </w:r>
      <w:r w:rsidR="005941D3">
        <w:t>client/participant</w:t>
      </w:r>
      <w:r>
        <w:t xml:space="preserve"> information between LAMP programs is shared, on an as-needed basis, in order to make internal referrals and bring together the services a </w:t>
      </w:r>
      <w:r w:rsidR="005941D3">
        <w:t>client/participant</w:t>
      </w:r>
      <w:r>
        <w:t xml:space="preserve"> may require.  LAMP </w:t>
      </w:r>
      <w:r w:rsidR="005941D3">
        <w:t>client</w:t>
      </w:r>
      <w:r w:rsidR="00D04EC9">
        <w:t>s</w:t>
      </w:r>
      <w:r w:rsidR="005941D3">
        <w:t>/participant</w:t>
      </w:r>
      <w:r>
        <w:t>s are asked to sign the LAMP Service Agreement and are given an explanation of their right to confidentiality.</w:t>
      </w:r>
    </w:p>
    <w:p w:rsidR="00913275" w:rsidRDefault="00913275" w:rsidP="000557AF"/>
    <w:p w:rsidR="00A62060" w:rsidRDefault="00A62060" w:rsidP="000557AF"/>
    <w:p w:rsidR="00913275" w:rsidRDefault="00913275" w:rsidP="000557AF">
      <w:r>
        <w:rPr>
          <w:noProof/>
          <w:lang w:val="en-US"/>
        </w:rPr>
        <mc:AlternateContent>
          <mc:Choice Requires="wps">
            <w:drawing>
              <wp:inline distT="0" distB="0" distL="0" distR="0" wp14:anchorId="19AE84CB" wp14:editId="5729262E">
                <wp:extent cx="5943600" cy="0"/>
                <wp:effectExtent l="0" t="0" r="19050" b="19050"/>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GkdttI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0557AF"/>
    <w:p w:rsidR="00913275" w:rsidRDefault="00913275" w:rsidP="000557AF"/>
    <w:p w:rsidR="00913275" w:rsidRDefault="00CA6B12" w:rsidP="000557AF">
      <w:pPr>
        <w:pStyle w:val="Heading2"/>
      </w:pPr>
      <w:r>
        <w:t>–</w:t>
      </w:r>
      <w:r w:rsidR="004D5D29">
        <w:t xml:space="preserve"> </w:t>
      </w:r>
      <w:r w:rsidR="00504FCB">
        <w:t>Scope</w:t>
      </w:r>
      <w:r>
        <w:t xml:space="preserve"> </w:t>
      </w:r>
    </w:p>
    <w:p w:rsidR="00CA6B12" w:rsidRDefault="00DA4A5A" w:rsidP="000557AF">
      <w:r>
        <w:t xml:space="preserve">This Policy applies to all employees, students and volunteers who work with </w:t>
      </w:r>
      <w:r w:rsidR="00D04EC9">
        <w:t>c</w:t>
      </w:r>
      <w:r w:rsidR="005941D3">
        <w:t>lient</w:t>
      </w:r>
      <w:r w:rsidR="00D04EC9">
        <w:t>s</w:t>
      </w:r>
      <w:r w:rsidR="005941D3">
        <w:t>/</w:t>
      </w:r>
      <w:r w:rsidR="00D04EC9">
        <w:t xml:space="preserve"> </w:t>
      </w:r>
      <w:r w:rsidR="005941D3">
        <w:t>participant</w:t>
      </w:r>
      <w:r>
        <w:t xml:space="preserve">s and </w:t>
      </w:r>
      <w:r w:rsidR="00D04EC9">
        <w:t>p</w:t>
      </w:r>
      <w:r w:rsidR="00E81762">
        <w:t>articipant</w:t>
      </w:r>
      <w:r>
        <w:t>s.</w:t>
      </w:r>
    </w:p>
    <w:p w:rsidR="00504FCB" w:rsidRDefault="00504FCB" w:rsidP="000557AF"/>
    <w:p w:rsidR="00BA3A5F" w:rsidRDefault="00BA3A5F" w:rsidP="000557AF"/>
    <w:p w:rsidR="00913275" w:rsidRDefault="00913275" w:rsidP="000557AF">
      <w:r>
        <w:rPr>
          <w:noProof/>
          <w:lang w:val="en-US"/>
        </w:rPr>
        <mc:AlternateContent>
          <mc:Choice Requires="wps">
            <w:drawing>
              <wp:inline distT="0" distB="0" distL="0" distR="0" wp14:anchorId="14846D85" wp14:editId="376A37B9">
                <wp:extent cx="5943600" cy="0"/>
                <wp:effectExtent l="0" t="0" r="19050" b="1905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ALzEMU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913275" w:rsidP="000557AF"/>
    <w:p w:rsidR="00913275" w:rsidRDefault="00913275" w:rsidP="000557AF"/>
    <w:p w:rsidR="00913275" w:rsidRDefault="00CA6B12" w:rsidP="000557AF">
      <w:pPr>
        <w:pStyle w:val="Heading2"/>
      </w:pPr>
      <w:r>
        <w:t>–</w:t>
      </w:r>
      <w:r w:rsidR="004D5D29">
        <w:t xml:space="preserve"> </w:t>
      </w:r>
      <w:r w:rsidR="00504FCB">
        <w:t>Policy</w:t>
      </w:r>
      <w:r>
        <w:t xml:space="preserve"> </w:t>
      </w:r>
    </w:p>
    <w:p w:rsidR="00DA4A5A" w:rsidRDefault="00DA4A5A" w:rsidP="000557AF">
      <w:pPr>
        <w:pStyle w:val="ListParagraph"/>
        <w:numPr>
          <w:ilvl w:val="1"/>
          <w:numId w:val="22"/>
        </w:numPr>
        <w:ind w:left="720" w:hanging="720"/>
      </w:pPr>
      <w:r>
        <w:t>LAMP employees and direct service volunteers are required to respect the privacy of clients/</w:t>
      </w:r>
      <w:r w:rsidR="00E81762">
        <w:t>participant</w:t>
      </w:r>
      <w:r>
        <w:t xml:space="preserve">s and to keep personal information gained while serving </w:t>
      </w:r>
      <w:r w:rsidR="005941D3">
        <w:t>client/participant</w:t>
      </w:r>
      <w:r>
        <w:t>s in strict confidence.  This general rule extends as well to keeping confidential the fact that a person is receiving service at LAMP.</w:t>
      </w:r>
    </w:p>
    <w:p w:rsidR="00DA4A5A" w:rsidRDefault="00DA4A5A" w:rsidP="000557AF"/>
    <w:p w:rsidR="00DA4A5A" w:rsidRDefault="00DA4A5A" w:rsidP="000557AF">
      <w:pPr>
        <w:pStyle w:val="ListParagraph"/>
        <w:numPr>
          <w:ilvl w:val="1"/>
          <w:numId w:val="22"/>
        </w:numPr>
        <w:spacing w:after="240"/>
        <w:ind w:left="720" w:hanging="720"/>
      </w:pPr>
      <w:r>
        <w:lastRenderedPageBreak/>
        <w:t xml:space="preserve">Employees and volunteers disclose such information only when properly authorized by </w:t>
      </w:r>
      <w:r w:rsidR="005941D3">
        <w:t>client</w:t>
      </w:r>
      <w:r w:rsidR="00D04EC9">
        <w:t>s</w:t>
      </w:r>
      <w:r w:rsidR="005941D3">
        <w:t>/participant</w:t>
      </w:r>
      <w:r>
        <w:t xml:space="preserve">s, when legally obligated to do so, or when disclosure is essential to the prevention of physical harm to the </w:t>
      </w:r>
      <w:r w:rsidR="005941D3">
        <w:t>client/participant/ participant</w:t>
      </w:r>
      <w:r>
        <w:t xml:space="preserve"> or others.</w:t>
      </w:r>
    </w:p>
    <w:p w:rsidR="00DA4A5A" w:rsidRDefault="00DA4A5A" w:rsidP="000557AF">
      <w:pPr>
        <w:spacing w:after="240"/>
        <w:ind w:left="720" w:hanging="720"/>
      </w:pPr>
      <w:r w:rsidRPr="00DA4A5A">
        <w:rPr>
          <w:b/>
        </w:rPr>
        <w:t>3.3</w:t>
      </w:r>
      <w:r>
        <w:tab/>
        <w:t xml:space="preserve">When disclosure is required by law or court order, employees must consult with their colleagues (if appropriate) and their Manager, Supervisor or Director.  They will, of course, also inform the </w:t>
      </w:r>
      <w:r w:rsidR="005941D3">
        <w:t>client/participant</w:t>
      </w:r>
      <w:r>
        <w:t xml:space="preserve"> except when safety is an issue.</w:t>
      </w:r>
    </w:p>
    <w:p w:rsidR="00DA4A5A" w:rsidRDefault="00DA4A5A" w:rsidP="000557AF">
      <w:pPr>
        <w:spacing w:after="240"/>
        <w:ind w:left="720" w:hanging="720"/>
      </w:pPr>
      <w:r w:rsidRPr="00DA4A5A">
        <w:rPr>
          <w:b/>
        </w:rPr>
        <w:t>3.4</w:t>
      </w:r>
      <w:r>
        <w:tab/>
        <w:t xml:space="preserve">Whether legally required or properly authorized by the </w:t>
      </w:r>
      <w:r w:rsidR="005941D3">
        <w:t>client/participant</w:t>
      </w:r>
      <w:r>
        <w:t xml:space="preserve">, in no case will employees divulge more information than is required to adequately serve the </w:t>
      </w:r>
      <w:r w:rsidR="005941D3">
        <w:t>client/participant</w:t>
      </w:r>
      <w:r>
        <w:t>’s best interest.</w:t>
      </w:r>
    </w:p>
    <w:p w:rsidR="00DA4A5A" w:rsidRDefault="00DA4A5A" w:rsidP="000557AF">
      <w:pPr>
        <w:ind w:left="720" w:hanging="720"/>
      </w:pPr>
      <w:r w:rsidRPr="00DA4A5A">
        <w:rPr>
          <w:b/>
        </w:rPr>
        <w:t>3.5</w:t>
      </w:r>
      <w:r>
        <w:tab/>
        <w:t xml:space="preserve">In the case of a “third party” request for information, employees make the records or specific information from the records available only to those professionals who have </w:t>
      </w:r>
      <w:proofErr w:type="gramStart"/>
      <w:r>
        <w:t xml:space="preserve">a </w:t>
      </w:r>
      <w:r w:rsidR="005941D3">
        <w:t>consent</w:t>
      </w:r>
      <w:proofErr w:type="gramEnd"/>
      <w:r w:rsidR="005941D3">
        <w:t xml:space="preserve"> from</w:t>
      </w:r>
      <w:r>
        <w:t xml:space="preserve"> </w:t>
      </w:r>
      <w:r w:rsidR="005941D3">
        <w:t>client/participant</w:t>
      </w:r>
      <w:r>
        <w:t>s.</w:t>
      </w:r>
    </w:p>
    <w:p w:rsidR="00913275" w:rsidRDefault="00913275" w:rsidP="000557AF"/>
    <w:p w:rsidR="00DA4A5A" w:rsidRDefault="00DA4A5A" w:rsidP="000557AF">
      <w:pPr>
        <w:ind w:left="720" w:hanging="720"/>
      </w:pPr>
      <w:r w:rsidRPr="00DA4A5A">
        <w:rPr>
          <w:b/>
        </w:rPr>
        <w:t>3.6</w:t>
      </w:r>
      <w:r>
        <w:tab/>
      </w:r>
      <w:r w:rsidR="00D04EC9">
        <w:t>Client/p</w:t>
      </w:r>
      <w:r w:rsidR="005941D3">
        <w:t>articipant c</w:t>
      </w:r>
      <w:r>
        <w:t>onfidentiality applies not only for the duration of an employees or volunteers relationship with LAMP, but continues indefinitely.</w:t>
      </w:r>
    </w:p>
    <w:p w:rsidR="00913275" w:rsidRDefault="00913275" w:rsidP="000557AF"/>
    <w:p w:rsidR="00DA4A5A" w:rsidRDefault="00DA4A5A" w:rsidP="000557AF">
      <w:pPr>
        <w:spacing w:after="240"/>
        <w:ind w:left="720" w:hanging="720"/>
      </w:pPr>
      <w:r w:rsidRPr="00DA4A5A">
        <w:rPr>
          <w:b/>
        </w:rPr>
        <w:t>3.7</w:t>
      </w:r>
      <w:r>
        <w:tab/>
        <w:t xml:space="preserve">In cases where the </w:t>
      </w:r>
      <w:r w:rsidR="005941D3">
        <w:t>client/participant</w:t>
      </w:r>
      <w:r>
        <w:t xml:space="preserve"> is a group, organization or community, the policy of confidential also applies.</w:t>
      </w:r>
    </w:p>
    <w:p w:rsidR="00DA4A5A" w:rsidRDefault="00DA4A5A" w:rsidP="000557AF">
      <w:pPr>
        <w:pStyle w:val="ListParagraph"/>
        <w:numPr>
          <w:ilvl w:val="0"/>
          <w:numId w:val="23"/>
        </w:numPr>
        <w:spacing w:after="240"/>
      </w:pPr>
      <w:r>
        <w:t>Employees are advised to reasonably anticipate circumstances which might be present and specific to their group and community work which would limit confidentiality.  Clear discussion at the outset of these limits in a group/community setting and contracting for confidentiality between members should be undertaken.  However, there is no legal recourse if their confidentiality is violated by another group member.</w:t>
      </w:r>
    </w:p>
    <w:p w:rsidR="00DA4A5A" w:rsidRDefault="00DA4A5A" w:rsidP="000557AF">
      <w:pPr>
        <w:pStyle w:val="ListParagraph"/>
        <w:numPr>
          <w:ilvl w:val="0"/>
          <w:numId w:val="0"/>
        </w:numPr>
        <w:spacing w:after="240"/>
        <w:ind w:left="1440"/>
      </w:pPr>
    </w:p>
    <w:p w:rsidR="00DA4A5A" w:rsidRDefault="00DA4A5A" w:rsidP="000557AF">
      <w:pPr>
        <w:pStyle w:val="ListParagraph"/>
        <w:numPr>
          <w:ilvl w:val="0"/>
          <w:numId w:val="23"/>
        </w:numPr>
        <w:spacing w:after="120"/>
        <w:contextualSpacing w:val="0"/>
      </w:pPr>
      <w:r>
        <w:t>If the focus of intervention is specifically community development, some unique issues with respect to confidentiality might arise.</w:t>
      </w:r>
    </w:p>
    <w:p w:rsidR="00DA4A5A" w:rsidRDefault="00DA4A5A" w:rsidP="000557AF">
      <w:pPr>
        <w:pStyle w:val="ListParagraph"/>
        <w:numPr>
          <w:ilvl w:val="0"/>
          <w:numId w:val="24"/>
        </w:numPr>
        <w:spacing w:after="120"/>
        <w:ind w:left="2160" w:hanging="540"/>
        <w:contextualSpacing w:val="0"/>
      </w:pPr>
      <w:r>
        <w:t xml:space="preserve">In working with a community or organization, one often learns a great deal about the personal lives and personalities of the people involved. </w:t>
      </w:r>
      <w:r w:rsidR="00D04EC9">
        <w:t xml:space="preserve"> </w:t>
      </w:r>
      <w:r>
        <w:t>This information is “in trust” and the personal privacy of the individuals should be protected.  There is an obligation to maintain confidentiality regarding information learned about an organization and its members except when the information is required to best serve the organization.</w:t>
      </w:r>
    </w:p>
    <w:p w:rsidR="00DA4A5A" w:rsidRDefault="00DA4A5A" w:rsidP="000557AF">
      <w:pPr>
        <w:pStyle w:val="ListParagraph"/>
        <w:numPr>
          <w:ilvl w:val="0"/>
          <w:numId w:val="24"/>
        </w:numPr>
        <w:spacing w:after="120"/>
        <w:ind w:left="2160" w:hanging="450"/>
        <w:contextualSpacing w:val="0"/>
      </w:pPr>
      <w:r>
        <w:t>When the worker carries forward information regarding the group’s activities, characteristics, goals, etc., disclosure must be limited to information that is relevant to the task at hand.  This would not include disclosing information of a personal, and therefore, confidential nature about individuals without their prior consent.</w:t>
      </w:r>
    </w:p>
    <w:p w:rsidR="00913275" w:rsidRDefault="00913275" w:rsidP="000557AF">
      <w:r>
        <w:rPr>
          <w:noProof/>
          <w:lang w:val="en-US"/>
        </w:rPr>
        <mc:AlternateContent>
          <mc:Choice Requires="wps">
            <w:drawing>
              <wp:inline distT="0" distB="0" distL="0" distR="0" wp14:anchorId="399B7F14" wp14:editId="1D66E5DA">
                <wp:extent cx="5943600" cy="0"/>
                <wp:effectExtent l="0" t="0" r="19050" b="19050"/>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L/B+/05AgAA5gQAAA4AAAAAAAAAAAAAAAAA&#10;LgIAAGRycy9lMm9Eb2MueG1sUEsBAi0AFAAGAAgAAAAhAFFfGbLYAAAAAgEAAA8AAAAAAAAAAAAA&#10;AAAAkwQAAGRycy9kb3ducmV2LnhtbFBLBQYAAAAABAAEAPMAAACYBQAAAAA=&#10;" strokeweight="1pt">
                <w10:anchorlock/>
              </v:line>
            </w:pict>
          </mc:Fallback>
        </mc:AlternateContent>
      </w:r>
    </w:p>
    <w:p w:rsidR="00913275" w:rsidRDefault="00CA6B12" w:rsidP="000557AF">
      <w:pPr>
        <w:pStyle w:val="Heading2"/>
      </w:pPr>
      <w:r>
        <w:lastRenderedPageBreak/>
        <w:t>–</w:t>
      </w:r>
      <w:r w:rsidR="004D5D29">
        <w:t xml:space="preserve"> </w:t>
      </w:r>
      <w:r w:rsidR="00913275">
        <w:t>Procedure</w:t>
      </w:r>
      <w:r w:rsidR="007A6412">
        <w:t>s</w:t>
      </w:r>
      <w:r>
        <w:t xml:space="preserve"> </w:t>
      </w:r>
    </w:p>
    <w:p w:rsidR="00DA4A5A" w:rsidRDefault="00DA4A5A" w:rsidP="000557AF">
      <w:pPr>
        <w:pStyle w:val="ListParagraph"/>
        <w:numPr>
          <w:ilvl w:val="1"/>
          <w:numId w:val="26"/>
        </w:numPr>
        <w:spacing w:after="240"/>
        <w:ind w:left="720" w:hanging="720"/>
        <w:contextualSpacing w:val="0"/>
      </w:pPr>
      <w:r>
        <w:t xml:space="preserve">Whenever an individual file is opened or employees make a referral for a </w:t>
      </w:r>
      <w:r w:rsidR="005941D3">
        <w:t>client/participant</w:t>
      </w:r>
      <w:r>
        <w:t xml:space="preserve">, we document the </w:t>
      </w:r>
      <w:r w:rsidR="005941D3">
        <w:t>client/participant</w:t>
      </w:r>
      <w:r>
        <w:t xml:space="preserve">’s understanding of our policies on sharing information </w:t>
      </w:r>
      <w:r w:rsidR="000557AF">
        <w:t xml:space="preserve">through the use of LAMP’s Service Agreement </w:t>
      </w:r>
      <w:r>
        <w:t xml:space="preserve">and place the signed Service Agreement in the file.  Employees are responsible for informing </w:t>
      </w:r>
      <w:r w:rsidR="005941D3">
        <w:t>client</w:t>
      </w:r>
      <w:r w:rsidR="00D04EC9">
        <w:t>s</w:t>
      </w:r>
      <w:r w:rsidR="005941D3">
        <w:t>/participant</w:t>
      </w:r>
      <w:r>
        <w:t>s early in their relationship of the limits of confidentiality of information.</w:t>
      </w:r>
    </w:p>
    <w:p w:rsidR="00DA4A5A" w:rsidRDefault="00DA4A5A" w:rsidP="000557AF">
      <w:pPr>
        <w:pStyle w:val="ListParagraph"/>
        <w:numPr>
          <w:ilvl w:val="1"/>
          <w:numId w:val="26"/>
        </w:numPr>
        <w:spacing w:after="240"/>
        <w:ind w:left="720" w:hanging="720"/>
        <w:contextualSpacing w:val="0"/>
      </w:pPr>
      <w:r>
        <w:t xml:space="preserve">In sharing health care information with another health care provider who is also working with the </w:t>
      </w:r>
      <w:r w:rsidR="005941D3">
        <w:t>client/participant</w:t>
      </w:r>
      <w:r>
        <w:t xml:space="preserve"> or to whom the </w:t>
      </w:r>
      <w:r w:rsidR="005941D3">
        <w:t>client/participant</w:t>
      </w:r>
      <w:r>
        <w:t xml:space="preserve"> is being referred, consent is assumed.</w:t>
      </w:r>
    </w:p>
    <w:p w:rsidR="00256A84" w:rsidRPr="00256A84" w:rsidRDefault="00DA4A5A" w:rsidP="000557AF">
      <w:pPr>
        <w:pStyle w:val="ListParagraph"/>
        <w:numPr>
          <w:ilvl w:val="1"/>
          <w:numId w:val="26"/>
        </w:numPr>
        <w:spacing w:after="240"/>
        <w:ind w:left="720" w:hanging="720"/>
        <w:contextualSpacing w:val="0"/>
      </w:pPr>
      <w:r w:rsidRPr="00256A84">
        <w:rPr>
          <w:spacing w:val="-2"/>
        </w:rPr>
        <w:t xml:space="preserve">Employees must complete consent forms before having </w:t>
      </w:r>
      <w:r w:rsidR="005941D3">
        <w:rPr>
          <w:spacing w:val="-2"/>
        </w:rPr>
        <w:t>client/participant</w:t>
      </w:r>
      <w:r w:rsidRPr="00256A84">
        <w:rPr>
          <w:spacing w:val="-2"/>
        </w:rPr>
        <w:t xml:space="preserve">s sign them and before releasing information.  A separate form is required to cover each authorization to release information to outside persons or agencies.  (In urgent circumstances, a verbal consent to the disclosure of information may be accepted as proper authorization).  </w:t>
      </w:r>
      <w:r w:rsidR="000557AF">
        <w:rPr>
          <w:spacing w:val="-2"/>
        </w:rPr>
        <w:t>Verbal consent should be noted in the client’s/</w:t>
      </w:r>
      <w:r w:rsidR="00D04EC9">
        <w:rPr>
          <w:spacing w:val="-2"/>
        </w:rPr>
        <w:t xml:space="preserve"> </w:t>
      </w:r>
      <w:r w:rsidR="000557AF">
        <w:rPr>
          <w:spacing w:val="-2"/>
        </w:rPr>
        <w:t xml:space="preserve">participant’s file or chart including the date, time and purpose of the consent.  </w:t>
      </w:r>
      <w:r w:rsidRPr="00256A84">
        <w:rPr>
          <w:spacing w:val="-2"/>
        </w:rPr>
        <w:t xml:space="preserve">In the case of ongoing joint casework with LAMP and </w:t>
      </w:r>
      <w:r w:rsidR="00D04EC9">
        <w:rPr>
          <w:spacing w:val="-2"/>
        </w:rPr>
        <w:t>its participating agencies, one-</w:t>
      </w:r>
      <w:r w:rsidRPr="00256A84">
        <w:rPr>
          <w:spacing w:val="-2"/>
        </w:rPr>
        <w:t xml:space="preserve">consent to multi-service case management is adequate if the </w:t>
      </w:r>
      <w:r w:rsidR="005941D3">
        <w:rPr>
          <w:spacing w:val="-2"/>
        </w:rPr>
        <w:t>client/participant</w:t>
      </w:r>
      <w:r w:rsidRPr="00256A84">
        <w:rPr>
          <w:spacing w:val="-2"/>
        </w:rPr>
        <w:t xml:space="preserve"> agrees to this arrangement.  All such consents are time-limited,</w:t>
      </w:r>
      <w:r w:rsidR="00256A84">
        <w:rPr>
          <w:spacing w:val="-2"/>
        </w:rPr>
        <w:t xml:space="preserve"> normally for one year.</w:t>
      </w:r>
    </w:p>
    <w:p w:rsidR="00DA4A5A" w:rsidRDefault="00DA4A5A" w:rsidP="000557AF">
      <w:pPr>
        <w:pStyle w:val="ListParagraph"/>
        <w:numPr>
          <w:ilvl w:val="1"/>
          <w:numId w:val="26"/>
        </w:numPr>
        <w:spacing w:after="120"/>
        <w:ind w:left="720" w:hanging="720"/>
        <w:contextualSpacing w:val="0"/>
      </w:pPr>
      <w:r>
        <w:t xml:space="preserve">Employees inform </w:t>
      </w:r>
      <w:r w:rsidR="005941D3">
        <w:t>client</w:t>
      </w:r>
      <w:r w:rsidR="00D04EC9">
        <w:t>s</w:t>
      </w:r>
      <w:r w:rsidR="005941D3">
        <w:t>/participant</w:t>
      </w:r>
      <w:r>
        <w:t xml:space="preserve">s of parameters of the information being disclosed make reasonable efforts to ensure </w:t>
      </w:r>
      <w:r w:rsidR="005941D3">
        <w:t>client</w:t>
      </w:r>
      <w:r w:rsidR="00D04EC9">
        <w:t>s</w:t>
      </w:r>
      <w:r w:rsidR="005941D3">
        <w:t>/participant</w:t>
      </w:r>
      <w:r>
        <w:t xml:space="preserve">s understand those parameters (e.g. who wants the information, why, what information, how it will be used).  As well, employees make reasonable efforts to ensure that the information disclosed is pertinent and relevant to the service for which the </w:t>
      </w:r>
      <w:r w:rsidR="005941D3">
        <w:t>client/participant</w:t>
      </w:r>
      <w:r>
        <w:t xml:space="preserve"> </w:t>
      </w:r>
      <w:r w:rsidR="000557AF">
        <w:t>uses</w:t>
      </w:r>
      <w:r>
        <w:t>.</w:t>
      </w:r>
    </w:p>
    <w:p w:rsidR="00DA4A5A" w:rsidRDefault="00DA4A5A" w:rsidP="000557AF">
      <w:pPr>
        <w:spacing w:after="240"/>
        <w:ind w:left="1440" w:hanging="720"/>
      </w:pPr>
      <w:r w:rsidRPr="0048166D">
        <w:rPr>
          <w:b/>
        </w:rPr>
        <w:t>Note:</w:t>
      </w:r>
      <w:r>
        <w:tab/>
        <w:t xml:space="preserve">Although consent is usually implied regarding the information given when making a referral, it is best to explain and check this out with the </w:t>
      </w:r>
      <w:r w:rsidR="005941D3">
        <w:t>client/participant</w:t>
      </w:r>
      <w:r>
        <w:t>.  For following up on an outside referral, obtain a written consent.</w:t>
      </w:r>
    </w:p>
    <w:p w:rsidR="00256A84" w:rsidRDefault="00256A84" w:rsidP="000557AF">
      <w:pPr>
        <w:pStyle w:val="ListParagraph"/>
        <w:numPr>
          <w:ilvl w:val="1"/>
          <w:numId w:val="26"/>
        </w:numPr>
        <w:spacing w:after="240"/>
        <w:ind w:left="720" w:hanging="720"/>
        <w:contextualSpacing w:val="0"/>
      </w:pPr>
      <w:r>
        <w:t xml:space="preserve">Employees will obtain </w:t>
      </w:r>
      <w:r w:rsidR="005941D3">
        <w:t>client</w:t>
      </w:r>
      <w:r w:rsidR="00D04EC9">
        <w:t>s</w:t>
      </w:r>
      <w:r w:rsidR="005941D3">
        <w:t>/participant</w:t>
      </w:r>
      <w:r>
        <w:t xml:space="preserve">s’ information written consent before audio and/or video tape recording or permitting third party observation of </w:t>
      </w:r>
      <w:r w:rsidR="005941D3">
        <w:t>client</w:t>
      </w:r>
      <w:r w:rsidR="00D04EC9">
        <w:t>s’</w:t>
      </w:r>
      <w:r w:rsidR="005941D3">
        <w:t>/participant</w:t>
      </w:r>
      <w:r>
        <w:t>s’ activities.</w:t>
      </w:r>
    </w:p>
    <w:p w:rsidR="00256A84" w:rsidRDefault="00256A84" w:rsidP="000557AF">
      <w:pPr>
        <w:pStyle w:val="ListParagraph"/>
        <w:numPr>
          <w:ilvl w:val="1"/>
          <w:numId w:val="26"/>
        </w:numPr>
        <w:spacing w:after="240"/>
        <w:ind w:left="720" w:hanging="720"/>
        <w:contextualSpacing w:val="0"/>
      </w:pPr>
      <w:r>
        <w:t>Employees will ensure that:</w:t>
      </w:r>
    </w:p>
    <w:p w:rsidR="00256A84" w:rsidRDefault="00256A84" w:rsidP="000557AF">
      <w:pPr>
        <w:pStyle w:val="ListParagraph"/>
        <w:numPr>
          <w:ilvl w:val="0"/>
          <w:numId w:val="27"/>
        </w:numPr>
        <w:spacing w:after="120"/>
        <w:ind w:left="1440" w:hanging="720"/>
        <w:contextualSpacing w:val="0"/>
      </w:pPr>
      <w:r>
        <w:t xml:space="preserve">Private conversations with or about </w:t>
      </w:r>
      <w:r w:rsidR="005941D3">
        <w:t>client</w:t>
      </w:r>
      <w:r w:rsidR="00D04EC9">
        <w:t>s</w:t>
      </w:r>
      <w:r w:rsidR="005941D3">
        <w:t>/participant</w:t>
      </w:r>
      <w:r>
        <w:t xml:space="preserve">s will take place in private and behind closed doors (except when employee safety is an issue).  </w:t>
      </w:r>
    </w:p>
    <w:p w:rsidR="00256A84" w:rsidRDefault="00256A84" w:rsidP="000557AF">
      <w:pPr>
        <w:pStyle w:val="ListParagraph"/>
        <w:numPr>
          <w:ilvl w:val="0"/>
          <w:numId w:val="27"/>
        </w:numPr>
        <w:spacing w:after="120"/>
        <w:ind w:left="1440" w:hanging="720"/>
        <w:contextualSpacing w:val="0"/>
      </w:pPr>
      <w:r>
        <w:lastRenderedPageBreak/>
        <w:t>Mail, fax or phone messages, as well as electronic messages and records, are handled and stored so that no unauthorized person has access to them.</w:t>
      </w:r>
    </w:p>
    <w:p w:rsidR="00256A84" w:rsidRDefault="00256A84" w:rsidP="000557AF">
      <w:pPr>
        <w:pStyle w:val="ListParagraph"/>
        <w:numPr>
          <w:ilvl w:val="0"/>
          <w:numId w:val="27"/>
        </w:numPr>
        <w:spacing w:after="240"/>
        <w:ind w:left="1440" w:hanging="720"/>
        <w:contextualSpacing w:val="0"/>
      </w:pPr>
      <w:r>
        <w:t>Records contain only pertinent and relevant information and are kept and/or shredded/deleted.</w:t>
      </w:r>
    </w:p>
    <w:p w:rsidR="00913275" w:rsidRDefault="00913275" w:rsidP="000557AF"/>
    <w:p w:rsidR="00256A84" w:rsidRPr="00256A84" w:rsidRDefault="00256A84" w:rsidP="000557AF">
      <w:pPr>
        <w:pStyle w:val="ListParagraph"/>
        <w:numPr>
          <w:ilvl w:val="1"/>
          <w:numId w:val="26"/>
        </w:numPr>
        <w:spacing w:after="240"/>
        <w:ind w:left="720" w:hanging="720"/>
        <w:contextualSpacing w:val="0"/>
        <w:rPr>
          <w:spacing w:val="-2"/>
        </w:rPr>
      </w:pPr>
      <w:r w:rsidRPr="00256A84">
        <w:rPr>
          <w:spacing w:val="-2"/>
        </w:rPr>
        <w:t xml:space="preserve">Access to the computer program containing data regarding </w:t>
      </w:r>
      <w:r w:rsidR="005941D3">
        <w:rPr>
          <w:spacing w:val="-2"/>
        </w:rPr>
        <w:t>client</w:t>
      </w:r>
      <w:r w:rsidR="00D04EC9">
        <w:rPr>
          <w:spacing w:val="-2"/>
        </w:rPr>
        <w:t>s</w:t>
      </w:r>
      <w:r w:rsidR="005941D3">
        <w:rPr>
          <w:spacing w:val="-2"/>
        </w:rPr>
        <w:t>/participant</w:t>
      </w:r>
      <w:r w:rsidRPr="00256A84">
        <w:rPr>
          <w:spacing w:val="-2"/>
        </w:rPr>
        <w:t xml:space="preserve">s is restricted to providers, employees who register </w:t>
      </w:r>
      <w:r w:rsidR="005941D3">
        <w:rPr>
          <w:spacing w:val="-2"/>
        </w:rPr>
        <w:t>client/participant</w:t>
      </w:r>
      <w:r w:rsidRPr="00256A84">
        <w:rPr>
          <w:spacing w:val="-2"/>
        </w:rPr>
        <w:t>s and the Manager or Supervisor responsible for data collection and reports.  Access is further restricted by the use of two passwords and a screen-saver.  Computer hard drives are cleared before disposal.</w:t>
      </w:r>
    </w:p>
    <w:p w:rsidR="00256A84" w:rsidRDefault="00256A84" w:rsidP="000557AF">
      <w:pPr>
        <w:pStyle w:val="ListParagraph"/>
        <w:numPr>
          <w:ilvl w:val="1"/>
          <w:numId w:val="26"/>
        </w:numPr>
        <w:spacing w:after="240"/>
        <w:ind w:left="720" w:hanging="720"/>
      </w:pPr>
      <w:r>
        <w:t xml:space="preserve">If confidentiality is breached, the </w:t>
      </w:r>
      <w:r w:rsidR="005941D3">
        <w:t>client/participant</w:t>
      </w:r>
      <w:r>
        <w:t xml:space="preserve"> must be informed and the breach fully investigated by Management.</w:t>
      </w:r>
    </w:p>
    <w:p w:rsidR="00913275" w:rsidRDefault="00256A84" w:rsidP="000557AF">
      <w:pPr>
        <w:spacing w:after="240"/>
        <w:ind w:left="720" w:hanging="720"/>
      </w:pPr>
      <w:r w:rsidRPr="00256A84">
        <w:rPr>
          <w:b/>
        </w:rPr>
        <w:t>4.9</w:t>
      </w:r>
      <w:r>
        <w:tab/>
      </w:r>
      <w:r w:rsidR="005941D3">
        <w:t>Client</w:t>
      </w:r>
      <w:r w:rsidR="00D04EC9">
        <w:t>s</w:t>
      </w:r>
      <w:r w:rsidR="005941D3">
        <w:t>/participant</w:t>
      </w:r>
      <w:r>
        <w:t>s have the right to refuse or withdraw their consent to the collection, use or disclosure of personal health information</w:t>
      </w:r>
    </w:p>
    <w:p w:rsidR="00913275" w:rsidRDefault="00913275" w:rsidP="000557AF"/>
    <w:p w:rsidR="00913275" w:rsidRDefault="00913275" w:rsidP="000557AF"/>
    <w:p w:rsidR="00495BB0" w:rsidRDefault="00495BB0" w:rsidP="000557AF">
      <w:r>
        <w:rPr>
          <w:noProof/>
          <w:lang w:val="en-US"/>
        </w:rPr>
        <mc:AlternateContent>
          <mc:Choice Requires="wps">
            <w:drawing>
              <wp:inline distT="0" distB="0" distL="0" distR="0" wp14:anchorId="24292C0F" wp14:editId="5A8C0E52">
                <wp:extent cx="59436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K5Ki5s5AgAA5gQAAA4AAAAAAAAAAAAAAAAA&#10;LgIAAGRycy9lMm9Eb2MueG1sUEsBAi0AFAAGAAgAAAAhAFFfGbLYAAAAAgEAAA8AAAAAAAAAAAAA&#10;AAAAkwQAAGRycy9kb3ducmV2LnhtbFBLBQYAAAAABAAEAPMAAACYBQAAAAA=&#10;" strokeweight="1pt">
                <w10:anchorlock/>
              </v:line>
            </w:pict>
          </mc:Fallback>
        </mc:AlternateContent>
      </w:r>
    </w:p>
    <w:p w:rsidR="00495BB0" w:rsidRDefault="00495BB0" w:rsidP="000557AF"/>
    <w:p w:rsidR="00495BB0" w:rsidRDefault="00495BB0" w:rsidP="000557AF"/>
    <w:p w:rsidR="00495BB0" w:rsidRDefault="00E15E3E" w:rsidP="000557AF">
      <w:pPr>
        <w:pStyle w:val="Heading2"/>
      </w:pPr>
      <w:r>
        <w:t>– References</w:t>
      </w:r>
    </w:p>
    <w:p w:rsidR="00495BB0" w:rsidRDefault="00256A84" w:rsidP="000557AF">
      <w:r>
        <w:t>Personal Health Information Protection Act, 2004</w:t>
      </w:r>
    </w:p>
    <w:p w:rsidR="00256A84" w:rsidRDefault="00190C06" w:rsidP="000557AF">
      <w:hyperlink r:id="rId8" w:history="1">
        <w:r w:rsidR="00256A84" w:rsidRPr="00DA3F70">
          <w:rPr>
            <w:rStyle w:val="Hyperlink"/>
            <w:rFonts w:cs="Arial"/>
            <w:sz w:val="21"/>
            <w:szCs w:val="21"/>
            <w:shd w:val="clear" w:color="auto" w:fill="FFFFFF"/>
          </w:rPr>
          <w:t>https://www.ontario.ca/laws/statute/04p03</w:t>
        </w:r>
      </w:hyperlink>
      <w:r w:rsidR="00256A84">
        <w:rPr>
          <w:rFonts w:cs="Arial"/>
          <w:color w:val="006621"/>
          <w:sz w:val="21"/>
          <w:szCs w:val="21"/>
          <w:shd w:val="clear" w:color="auto" w:fill="FFFFFF"/>
        </w:rPr>
        <w:t xml:space="preserve"> </w:t>
      </w:r>
    </w:p>
    <w:p w:rsidR="00495BB0" w:rsidRDefault="00495BB0" w:rsidP="000557AF"/>
    <w:p w:rsidR="001137C2" w:rsidRDefault="00256A84" w:rsidP="000557AF">
      <w:r>
        <w:t>Freedom of Information and Protection of Privacy Act</w:t>
      </w:r>
    </w:p>
    <w:p w:rsidR="00256A84" w:rsidRDefault="00190C06" w:rsidP="000557AF">
      <w:hyperlink r:id="rId9" w:history="1">
        <w:r w:rsidR="00256A84" w:rsidRPr="00DA3F70">
          <w:rPr>
            <w:rStyle w:val="Hyperlink"/>
            <w:rFonts w:cs="Arial"/>
            <w:sz w:val="21"/>
            <w:szCs w:val="21"/>
            <w:shd w:val="clear" w:color="auto" w:fill="FFFFFF"/>
          </w:rPr>
          <w:t>https://www.ipc.on.ca/english/decisions-and-resolutions/The-</w:t>
        </w:r>
        <w:r w:rsidR="00256A84" w:rsidRPr="00DA3F70">
          <w:rPr>
            <w:rStyle w:val="Hyperlink"/>
            <w:rFonts w:cs="Arial"/>
            <w:b/>
            <w:bCs/>
            <w:sz w:val="21"/>
            <w:szCs w:val="21"/>
            <w:shd w:val="clear" w:color="auto" w:fill="FFFFFF"/>
          </w:rPr>
          <w:t>Acts</w:t>
        </w:r>
        <w:r w:rsidR="00256A84" w:rsidRPr="00DA3F70">
          <w:rPr>
            <w:rStyle w:val="Hyperlink"/>
            <w:rFonts w:cs="Arial"/>
            <w:sz w:val="21"/>
            <w:szCs w:val="21"/>
            <w:shd w:val="clear" w:color="auto" w:fill="FFFFFF"/>
          </w:rPr>
          <w:t>/</w:t>
        </w:r>
      </w:hyperlink>
      <w:r w:rsidR="00256A84">
        <w:rPr>
          <w:rFonts w:cs="Arial"/>
          <w:color w:val="006621"/>
          <w:sz w:val="21"/>
          <w:szCs w:val="21"/>
          <w:shd w:val="clear" w:color="auto" w:fill="FFFFFF"/>
        </w:rPr>
        <w:t xml:space="preserve"> </w:t>
      </w:r>
    </w:p>
    <w:p w:rsidR="00256A84" w:rsidRDefault="00256A84" w:rsidP="000557AF"/>
    <w:p w:rsidR="00327CCB" w:rsidRPr="003D4298" w:rsidRDefault="00327CCB" w:rsidP="000557AF">
      <w:pPr>
        <w:rPr>
          <w:rFonts w:eastAsiaTheme="majorEastAsia" w:cstheme="majorBidi"/>
          <w:bCs/>
          <w:szCs w:val="24"/>
        </w:rPr>
      </w:pPr>
    </w:p>
    <w:p w:rsidR="00075081" w:rsidRDefault="00075081" w:rsidP="000557AF">
      <w:r>
        <w:rPr>
          <w:noProof/>
          <w:lang w:val="en-US"/>
        </w:rPr>
        <mc:AlternateContent>
          <mc:Choice Requires="wps">
            <w:drawing>
              <wp:inline distT="0" distB="0" distL="0" distR="0" wp14:anchorId="7F6B637C" wp14:editId="55D486B4">
                <wp:extent cx="5943600" cy="0"/>
                <wp:effectExtent l="0" t="0" r="19050" b="19050"/>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gradFill flip="none" rotWithShape="1">
                            <a:gsLst>
                              <a:gs pos="100000">
                                <a:schemeClr val="bg1"/>
                              </a:gs>
                              <a:gs pos="0">
                                <a:srgbClr val="1D449B"/>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" strokeweight="1pt">
                <w10:anchorlock/>
              </v:line>
            </w:pict>
          </mc:Fallback>
        </mc:AlternateContent>
      </w:r>
    </w:p>
    <w:p w:rsidR="00075081" w:rsidRDefault="00075081" w:rsidP="000557AF"/>
    <w:p w:rsidR="00257D2F" w:rsidRDefault="00257D2F" w:rsidP="000557AF"/>
    <w:p w:rsidR="00F46077" w:rsidRDefault="00C55224" w:rsidP="000557AF">
      <w:pPr>
        <w:pStyle w:val="Heading2"/>
      </w:pPr>
      <w:r>
        <w:t>– Form</w:t>
      </w:r>
    </w:p>
    <w:p w:rsidR="00EE388B" w:rsidRDefault="00C55224" w:rsidP="000557AF">
      <w:pPr>
        <w:pStyle w:val="ListParagraph"/>
        <w:numPr>
          <w:ilvl w:val="0"/>
          <w:numId w:val="28"/>
        </w:numPr>
        <w:ind w:left="360"/>
      </w:pPr>
      <w:r>
        <w:t>Consent Form</w:t>
      </w:r>
    </w:p>
    <w:p w:rsidR="00F13199" w:rsidRDefault="00F13199" w:rsidP="000557AF"/>
    <w:p w:rsidR="00F13199" w:rsidRDefault="00F13199" w:rsidP="000557AF"/>
    <w:p w:rsidR="00F13199" w:rsidRDefault="00F13199" w:rsidP="000557AF"/>
    <w:p w:rsidR="00F13199" w:rsidRDefault="00F13199" w:rsidP="000557AF"/>
    <w:sectPr w:rsidR="00F13199" w:rsidSect="00F7174A">
      <w:headerReference w:type="even" r:id="rId10"/>
      <w:headerReference w:type="default" r:id="rId11"/>
      <w:footerReference w:type="even" r:id="rId12"/>
      <w:footerReference w:type="default" r:id="rId13"/>
      <w:headerReference w:type="first" r:id="rId14"/>
      <w:footerReference w:type="first" r:id="rId15"/>
      <w:pgSz w:w="12240" w:h="15840" w:code="1"/>
      <w:pgMar w:top="2016" w:right="1440" w:bottom="1080" w:left="1440" w:header="57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3E" w:rsidRDefault="00E15E3E" w:rsidP="00A3750E">
      <w:r>
        <w:separator/>
      </w:r>
    </w:p>
  </w:endnote>
  <w:endnote w:type="continuationSeparator" w:id="0">
    <w:p w:rsidR="00E15E3E" w:rsidRDefault="00E15E3E" w:rsidP="00A3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F7174A">
    <w:pPr>
      <w:pStyle w:val="Footer"/>
      <w:pBdr>
        <w:top w:val="single" w:sz="18" w:space="12" w:color="1D449B"/>
      </w:pBdr>
      <w:tabs>
        <w:tab w:val="clear" w:pos="4680"/>
        <w:tab w:val="clear" w:pos="9360"/>
        <w:tab w:val="right" w:pos="9720"/>
      </w:tabs>
      <w:ind w:left="-360" w:right="-360"/>
      <w:rPr>
        <w:sz w:val="20"/>
        <w:szCs w:val="20"/>
      </w:rPr>
    </w:pP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190C06">
      <w:rPr>
        <w:noProof/>
        <w:sz w:val="20"/>
        <w:szCs w:val="20"/>
      </w:rPr>
      <w:t>4</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190C06">
      <w:rPr>
        <w:noProof/>
        <w:sz w:val="20"/>
        <w:szCs w:val="20"/>
      </w:rPr>
      <w:t>4</w:t>
    </w:r>
    <w:r w:rsidRPr="004D49C0">
      <w:rPr>
        <w:noProof/>
        <w:sz w:val="20"/>
        <w:szCs w:val="20"/>
      </w:rPr>
      <w:fldChar w:fldCharType="end"/>
    </w:r>
    <w:r>
      <w:rPr>
        <w:noProof/>
        <w:sz w:val="20"/>
        <w:szCs w:val="20"/>
      </w:rPr>
      <w:tab/>
    </w:r>
    <w:r>
      <w:rPr>
        <w:sz w:val="20"/>
        <w:szCs w:val="20"/>
      </w:rPr>
      <w:t>LAMP General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075081">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190C06">
      <w:rPr>
        <w:noProof/>
        <w:sz w:val="20"/>
        <w:szCs w:val="20"/>
      </w:rPr>
      <w:t>3</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190C06">
      <w:rPr>
        <w:noProof/>
        <w:sz w:val="20"/>
        <w:szCs w:val="20"/>
      </w:rPr>
      <w:t>4</w:t>
    </w:r>
    <w:r w:rsidRPr="004D49C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A7" w:rsidRPr="004D49C0" w:rsidRDefault="00041EA7" w:rsidP="00935006">
    <w:pPr>
      <w:pStyle w:val="Footer"/>
      <w:pBdr>
        <w:top w:val="single" w:sz="18" w:space="12" w:color="1D449B"/>
      </w:pBdr>
      <w:tabs>
        <w:tab w:val="clear" w:pos="4680"/>
        <w:tab w:val="clear" w:pos="9360"/>
        <w:tab w:val="right" w:pos="9720"/>
      </w:tabs>
      <w:ind w:left="-360" w:right="-360"/>
      <w:rPr>
        <w:sz w:val="20"/>
        <w:szCs w:val="20"/>
      </w:rPr>
    </w:pPr>
    <w:r>
      <w:rPr>
        <w:sz w:val="20"/>
        <w:szCs w:val="20"/>
      </w:rPr>
      <w:t>LAMP General Manual</w:t>
    </w:r>
    <w:r w:rsidR="00B45431">
      <w:rPr>
        <w:sz w:val="20"/>
        <w:szCs w:val="20"/>
      </w:rPr>
      <w:t xml:space="preserve">   </w:t>
    </w:r>
    <w:r>
      <w:rPr>
        <w:sz w:val="20"/>
        <w:szCs w:val="20"/>
      </w:rPr>
      <w:tab/>
    </w:r>
    <w:r w:rsidRPr="004D49C0">
      <w:rPr>
        <w:sz w:val="20"/>
        <w:szCs w:val="20"/>
      </w:rPr>
      <w:fldChar w:fldCharType="begin"/>
    </w:r>
    <w:r w:rsidRPr="004D49C0">
      <w:rPr>
        <w:sz w:val="20"/>
        <w:szCs w:val="20"/>
      </w:rPr>
      <w:instrText xml:space="preserve"> PAGE   \* MERGEFORMAT </w:instrText>
    </w:r>
    <w:r w:rsidRPr="004D49C0">
      <w:rPr>
        <w:sz w:val="20"/>
        <w:szCs w:val="20"/>
      </w:rPr>
      <w:fldChar w:fldCharType="separate"/>
    </w:r>
    <w:r w:rsidR="00190C06">
      <w:rPr>
        <w:noProof/>
        <w:sz w:val="20"/>
        <w:szCs w:val="20"/>
      </w:rPr>
      <w:t>1</w:t>
    </w:r>
    <w:r w:rsidRPr="004D49C0">
      <w:rPr>
        <w:sz w:val="20"/>
        <w:szCs w:val="20"/>
      </w:rPr>
      <w:fldChar w:fldCharType="end"/>
    </w:r>
    <w:r w:rsidRPr="004D49C0">
      <w:rPr>
        <w:sz w:val="20"/>
        <w:szCs w:val="20"/>
      </w:rPr>
      <w:t>/</w:t>
    </w:r>
    <w:r w:rsidRPr="004D49C0">
      <w:rPr>
        <w:sz w:val="20"/>
        <w:szCs w:val="20"/>
      </w:rPr>
      <w:fldChar w:fldCharType="begin"/>
    </w:r>
    <w:r w:rsidRPr="004D49C0">
      <w:rPr>
        <w:sz w:val="20"/>
        <w:szCs w:val="20"/>
      </w:rPr>
      <w:instrText xml:space="preserve"> NUMPAGES   \* MERGEFORMAT </w:instrText>
    </w:r>
    <w:r w:rsidRPr="004D49C0">
      <w:rPr>
        <w:sz w:val="20"/>
        <w:szCs w:val="20"/>
      </w:rPr>
      <w:fldChar w:fldCharType="separate"/>
    </w:r>
    <w:r w:rsidR="00190C06">
      <w:rPr>
        <w:noProof/>
        <w:sz w:val="20"/>
        <w:szCs w:val="20"/>
      </w:rPr>
      <w:t>4</w:t>
    </w:r>
    <w:r w:rsidRPr="004D49C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3E" w:rsidRDefault="00E15E3E" w:rsidP="00A3750E">
      <w:r>
        <w:separator/>
      </w:r>
    </w:p>
  </w:footnote>
  <w:footnote w:type="continuationSeparator" w:id="0">
    <w:p w:rsidR="00E15E3E" w:rsidRDefault="00E15E3E" w:rsidP="00A3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5F5012">
      <w:trPr>
        <w:trHeight w:val="532"/>
      </w:trPr>
      <w:tc>
        <w:tcPr>
          <w:tcW w:w="10080" w:type="dxa"/>
          <w:tcBorders>
            <w:bottom w:val="single" w:sz="18" w:space="0" w:color="1D449B"/>
          </w:tcBorders>
          <w:vAlign w:val="center"/>
        </w:tcPr>
        <w:p w:rsidR="00041EA7" w:rsidRPr="00BA57DC" w:rsidRDefault="00041EA7" w:rsidP="0070123F">
          <w:pPr>
            <w:rPr>
              <w:b/>
              <w:szCs w:val="24"/>
            </w:rPr>
          </w:pPr>
        </w:p>
      </w:tc>
    </w:tr>
    <w:tr w:rsidR="00041EA7" w:rsidTr="005F5012">
      <w:trPr>
        <w:trHeight w:val="533"/>
      </w:trPr>
      <w:tc>
        <w:tcPr>
          <w:tcW w:w="10080" w:type="dxa"/>
          <w:tcBorders>
            <w:top w:val="single" w:sz="18" w:space="0" w:color="1D449B"/>
          </w:tcBorders>
          <w:vAlign w:val="center"/>
        </w:tcPr>
        <w:p w:rsidR="00041EA7" w:rsidRPr="00BA57DC" w:rsidRDefault="00190C06" w:rsidP="000920AB">
          <w:pPr>
            <w:rPr>
              <w:szCs w:val="24"/>
            </w:rPr>
          </w:pPr>
          <w:sdt>
            <w:sdtPr>
              <w:rPr>
                <w:b/>
                <w:szCs w:val="24"/>
              </w:rPr>
              <w:id w:val="475724538"/>
            </w:sdtPr>
            <w:sdtEndPr/>
            <w:sdtContent>
              <w:r w:rsidR="00DA4A5A" w:rsidRPr="00DA4A5A">
                <w:rPr>
                  <w:b/>
                  <w:szCs w:val="24"/>
                </w:rPr>
                <w:t>Working with Clients</w:t>
              </w:r>
            </w:sdtContent>
          </w:sdt>
          <w:r w:rsidR="00776B9A">
            <w:rPr>
              <w:b/>
              <w:szCs w:val="24"/>
            </w:rPr>
            <w:t xml:space="preserve">  </w:t>
          </w:r>
          <w:proofErr w:type="gramStart"/>
          <w:r w:rsidR="00776B9A" w:rsidRPr="00CE2775">
            <w:rPr>
              <w:rFonts w:ascii="Calibri" w:hAnsi="Calibri"/>
              <w:b/>
              <w:sz w:val="28"/>
              <w:szCs w:val="28"/>
            </w:rPr>
            <w:t>│</w:t>
          </w:r>
          <w:r w:rsidR="00776B9A">
            <w:rPr>
              <w:b/>
              <w:szCs w:val="24"/>
            </w:rPr>
            <w:t xml:space="preserve">  </w:t>
          </w:r>
          <w:proofErr w:type="gramEnd"/>
          <w:sdt>
            <w:sdtPr>
              <w:rPr>
                <w:b/>
                <w:szCs w:val="24"/>
              </w:rPr>
              <w:id w:val="-1904441981"/>
              <w:showingPlcHdr/>
            </w:sdtPr>
            <w:sdtEndPr>
              <w:rPr>
                <w:b w:val="0"/>
              </w:rPr>
            </w:sdtEndPr>
            <w:sdtContent>
              <w:r w:rsidR="00385E05" w:rsidRPr="00BF5DBA">
                <w:rPr>
                  <w:rStyle w:val="PlaceholderText"/>
                </w:rPr>
                <w:t>Click here to enter text.</w:t>
              </w:r>
            </w:sdtContent>
          </w:sdt>
        </w:p>
      </w:tc>
    </w:tr>
  </w:tbl>
  <w:p w:rsidR="00041EA7" w:rsidRDefault="00041EA7" w:rsidP="00F7174A">
    <w:pPr>
      <w:pStyle w:val="Header"/>
      <w:tabs>
        <w:tab w:val="clear" w:pos="9360"/>
        <w:tab w:val="right" w:pos="972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41EA7" w:rsidTr="00F7174A">
      <w:trPr>
        <w:trHeight w:val="532"/>
      </w:trPr>
      <w:tc>
        <w:tcPr>
          <w:tcW w:w="10080" w:type="dxa"/>
          <w:tcBorders>
            <w:bottom w:val="single" w:sz="18" w:space="0" w:color="1D449B"/>
          </w:tcBorders>
          <w:vAlign w:val="center"/>
        </w:tcPr>
        <w:p w:rsidR="00041EA7" w:rsidRPr="00BA57DC" w:rsidRDefault="00041EA7" w:rsidP="0070123F">
          <w:pPr>
            <w:jc w:val="right"/>
            <w:rPr>
              <w:b/>
              <w:szCs w:val="24"/>
            </w:rPr>
          </w:pPr>
          <w:bookmarkStart w:id="0" w:name="_GoBack"/>
          <w:bookmarkEnd w:id="0"/>
        </w:p>
      </w:tc>
    </w:tr>
    <w:tr w:rsidR="00041EA7" w:rsidTr="00F7174A">
      <w:trPr>
        <w:trHeight w:val="533"/>
      </w:trPr>
      <w:tc>
        <w:tcPr>
          <w:tcW w:w="10080" w:type="dxa"/>
          <w:tcBorders>
            <w:top w:val="single" w:sz="18" w:space="0" w:color="1D449B"/>
          </w:tcBorders>
          <w:vAlign w:val="center"/>
        </w:tcPr>
        <w:p w:rsidR="00041EA7" w:rsidRPr="00BA57DC" w:rsidRDefault="00190C06" w:rsidP="0000426E">
          <w:pPr>
            <w:jc w:val="right"/>
            <w:rPr>
              <w:szCs w:val="24"/>
            </w:rPr>
          </w:pPr>
          <w:sdt>
            <w:sdtPr>
              <w:rPr>
                <w:b/>
                <w:szCs w:val="24"/>
              </w:rPr>
              <w:id w:val="-933201129"/>
            </w:sdtPr>
            <w:sdtEndPr/>
            <w:sdtContent>
              <w:sdt>
                <w:sdtPr>
                  <w:rPr>
                    <w:b/>
                    <w:szCs w:val="24"/>
                  </w:rPr>
                  <w:id w:val="-1445759098"/>
                </w:sdtPr>
                <w:sdtEndPr/>
                <w:sdtContent>
                  <w:r w:rsidR="00DA4A5A">
                    <w:rPr>
                      <w:b/>
                      <w:szCs w:val="24"/>
                    </w:rPr>
                    <w:t>Working with Clients</w:t>
                  </w:r>
                </w:sdtContent>
              </w:sdt>
            </w:sdtContent>
          </w:sdt>
          <w:r w:rsidR="00776B9A">
            <w:rPr>
              <w:b/>
              <w:szCs w:val="24"/>
            </w:rPr>
            <w:t xml:space="preserve">  </w:t>
          </w:r>
          <w:proofErr w:type="gramStart"/>
          <w:r w:rsidR="00776B9A" w:rsidRPr="00CE2775">
            <w:rPr>
              <w:rFonts w:ascii="Calibri" w:hAnsi="Calibri"/>
              <w:b/>
              <w:sz w:val="28"/>
              <w:szCs w:val="28"/>
            </w:rPr>
            <w:t>│</w:t>
          </w:r>
          <w:r w:rsidR="00776B9A">
            <w:rPr>
              <w:b/>
              <w:szCs w:val="24"/>
            </w:rPr>
            <w:t xml:space="preserve">  </w:t>
          </w:r>
          <w:proofErr w:type="gramEnd"/>
          <w:sdt>
            <w:sdtPr>
              <w:rPr>
                <w:b/>
                <w:szCs w:val="24"/>
              </w:rPr>
              <w:id w:val="505399011"/>
              <w:showingPlcHdr/>
            </w:sdtPr>
            <w:sdtEndPr>
              <w:rPr>
                <w:b w:val="0"/>
              </w:rPr>
            </w:sdtEndPr>
            <w:sdtContent>
              <w:r w:rsidR="00385E05" w:rsidRPr="00BF5DBA">
                <w:rPr>
                  <w:rStyle w:val="PlaceholderText"/>
                </w:rPr>
                <w:t>Click here to enter text.</w:t>
              </w:r>
            </w:sdtContent>
          </w:sdt>
        </w:p>
      </w:tc>
    </w:tr>
  </w:tbl>
  <w:p w:rsidR="00041EA7" w:rsidRDefault="00041EA7" w:rsidP="00F7174A">
    <w:pPr>
      <w:pStyle w:val="Header"/>
      <w:tabs>
        <w:tab w:val="clear" w:pos="9360"/>
        <w:tab w:val="right" w:pos="9720"/>
      </w:tabs>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60"/>
    </w:tblGrid>
    <w:tr w:rsidR="00041EA7" w:rsidTr="00935006">
      <w:trPr>
        <w:trHeight w:val="532"/>
      </w:trPr>
      <w:tc>
        <w:tcPr>
          <w:tcW w:w="810" w:type="dxa"/>
          <w:vMerge w:val="restart"/>
          <w:vAlign w:val="bottom"/>
        </w:tcPr>
        <w:p w:rsidR="00041EA7" w:rsidRDefault="00041EA7" w:rsidP="00935006">
          <w:pPr>
            <w:ind w:left="-90" w:right="-108"/>
            <w:rPr>
              <w:noProof/>
              <w:lang w:val="en-US"/>
            </w:rPr>
          </w:pPr>
          <w:r>
            <w:rPr>
              <w:noProof/>
              <w:lang w:val="en-US"/>
            </w:rPr>
            <w:drawing>
              <wp:inline distT="0" distB="0" distL="0" distR="0" wp14:anchorId="5C5E4C63" wp14:editId="28A54B22">
                <wp:extent cx="483599" cy="676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ogoColour Small Square.jpg"/>
                        <pic:cNvPicPr/>
                      </pic:nvPicPr>
                      <pic:blipFill rotWithShape="1">
                        <a:blip r:embed="rId1" cstate="print">
                          <a:extLst>
                            <a:ext uri="{28A0092B-C50C-407E-A947-70E740481C1C}">
                              <a14:useLocalDpi xmlns:a14="http://schemas.microsoft.com/office/drawing/2010/main" val="0"/>
                            </a:ext>
                          </a:extLst>
                        </a:blip>
                        <a:srcRect l="14465" r="13776"/>
                        <a:stretch/>
                      </pic:blipFill>
                      <pic:spPr bwMode="auto">
                        <a:xfrm>
                          <a:off x="0" y="0"/>
                          <a:ext cx="483599" cy="676656"/>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tcBorders>
            <w:bottom w:val="single" w:sz="18" w:space="0" w:color="1D449B"/>
          </w:tcBorders>
          <w:vAlign w:val="center"/>
        </w:tcPr>
        <w:p w:rsidR="00041EA7" w:rsidRPr="00BA57DC" w:rsidRDefault="00041EA7" w:rsidP="0070123F">
          <w:pPr>
            <w:jc w:val="right"/>
            <w:rPr>
              <w:b/>
              <w:szCs w:val="24"/>
            </w:rPr>
          </w:pPr>
        </w:p>
      </w:tc>
    </w:tr>
    <w:tr w:rsidR="00041EA7" w:rsidTr="00935006">
      <w:trPr>
        <w:trHeight w:val="533"/>
      </w:trPr>
      <w:tc>
        <w:tcPr>
          <w:tcW w:w="810" w:type="dxa"/>
          <w:vMerge/>
          <w:vAlign w:val="bottom"/>
        </w:tcPr>
        <w:p w:rsidR="00041EA7" w:rsidRDefault="00041EA7" w:rsidP="00935006">
          <w:pPr>
            <w:ind w:left="-90"/>
          </w:pPr>
        </w:p>
      </w:tc>
      <w:tc>
        <w:tcPr>
          <w:tcW w:w="9360" w:type="dxa"/>
          <w:tcBorders>
            <w:top w:val="single" w:sz="18" w:space="0" w:color="1D449B"/>
          </w:tcBorders>
          <w:vAlign w:val="center"/>
        </w:tcPr>
        <w:p w:rsidR="00041EA7" w:rsidRPr="00BA57DC" w:rsidRDefault="00190C06" w:rsidP="00DA4A5A">
          <w:pPr>
            <w:jc w:val="right"/>
            <w:rPr>
              <w:szCs w:val="24"/>
            </w:rPr>
          </w:pPr>
          <w:sdt>
            <w:sdtPr>
              <w:rPr>
                <w:b/>
                <w:szCs w:val="24"/>
              </w:rPr>
              <w:id w:val="-1547287729"/>
              <w:placeholder>
                <w:docPart w:val="7471D684A74D4AA09B0A9AAC9799715D"/>
              </w:placeholder>
            </w:sdtPr>
            <w:sdtEndPr/>
            <w:sdtContent>
              <w:r w:rsidR="00DA4A5A">
                <w:rPr>
                  <w:b/>
                  <w:szCs w:val="24"/>
                </w:rPr>
                <w:t>Working with Clients</w:t>
              </w:r>
            </w:sdtContent>
          </w:sdt>
          <w:r w:rsidR="00CE2775">
            <w:rPr>
              <w:b/>
              <w:szCs w:val="24"/>
            </w:rPr>
            <w:t xml:space="preserve">  </w:t>
          </w:r>
          <w:proofErr w:type="gramStart"/>
          <w:r w:rsidR="00CE2775" w:rsidRPr="00CE2775">
            <w:rPr>
              <w:rFonts w:ascii="Calibri" w:hAnsi="Calibri"/>
              <w:b/>
              <w:sz w:val="28"/>
              <w:szCs w:val="28"/>
            </w:rPr>
            <w:t>│</w:t>
          </w:r>
          <w:r w:rsidR="00CE2775">
            <w:rPr>
              <w:b/>
              <w:szCs w:val="24"/>
            </w:rPr>
            <w:t xml:space="preserve">  </w:t>
          </w:r>
          <w:proofErr w:type="gramEnd"/>
          <w:sdt>
            <w:sdtPr>
              <w:rPr>
                <w:b/>
                <w:szCs w:val="24"/>
              </w:rPr>
              <w:id w:val="1508400957"/>
              <w:placeholder>
                <w:docPart w:val="7471D684A74D4AA09B0A9AAC9799715D"/>
              </w:placeholder>
              <w:showingPlcHdr/>
            </w:sdtPr>
            <w:sdtEndPr>
              <w:rPr>
                <w:b w:val="0"/>
              </w:rPr>
            </w:sdtEndPr>
            <w:sdtContent>
              <w:r w:rsidR="00385E05" w:rsidRPr="00BF5DBA">
                <w:rPr>
                  <w:rStyle w:val="PlaceholderText"/>
                </w:rPr>
                <w:t>Click here to enter text.</w:t>
              </w:r>
            </w:sdtContent>
          </w:sdt>
        </w:p>
      </w:tc>
    </w:tr>
  </w:tbl>
  <w:p w:rsidR="00041EA7" w:rsidRDefault="00041EA7" w:rsidP="00935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08"/>
    <w:multiLevelType w:val="hybridMultilevel"/>
    <w:tmpl w:val="9B1E4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8A516A"/>
    <w:multiLevelType w:val="multilevel"/>
    <w:tmpl w:val="DD42CDCC"/>
    <w:lvl w:ilvl="0">
      <w:start w:val="1"/>
      <w:numFmt w:val="decimal"/>
      <w:pStyle w:val="Heading2"/>
      <w:suff w:val="space"/>
      <w:lvlText w:val="Section %1"/>
      <w:lvlJc w:val="left"/>
      <w:pPr>
        <w:ind w:left="360" w:hanging="360"/>
      </w:pPr>
      <w:rPr>
        <w:rFonts w:hint="default"/>
      </w:rPr>
    </w:lvl>
    <w:lvl w:ilvl="1">
      <w:start w:val="1"/>
      <w:numFmt w:val="decimal"/>
      <w:pStyle w:val="PolLev1"/>
      <w:lvlText w:val="%1.%2."/>
      <w:lvlJc w:val="left"/>
      <w:pPr>
        <w:ind w:left="547" w:hanging="547"/>
      </w:pPr>
      <w:rPr>
        <w:rFonts w:hint="default"/>
      </w:rPr>
    </w:lvl>
    <w:lvl w:ilvl="2">
      <w:start w:val="1"/>
      <w:numFmt w:val="decimal"/>
      <w:pStyle w:val="ListParagraph"/>
      <w:lvlText w:val="%1.%2.%3."/>
      <w:lvlJc w:val="left"/>
      <w:pPr>
        <w:ind w:left="806" w:hanging="259"/>
      </w:pPr>
      <w:rPr>
        <w:rFonts w:hint="default"/>
      </w:rPr>
    </w:lvl>
    <w:lvl w:ilvl="3">
      <w:start w:val="1"/>
      <w:numFmt w:val="decimal"/>
      <w:pStyle w:val="PolLev3"/>
      <w:lvlText w:val="%1.%2.%3.%4."/>
      <w:lvlJc w:val="left"/>
      <w:pPr>
        <w:ind w:left="1728" w:hanging="648"/>
      </w:pPr>
      <w:rPr>
        <w:rFonts w:hint="default"/>
      </w:rPr>
    </w:lvl>
    <w:lvl w:ilvl="4">
      <w:start w:val="1"/>
      <w:numFmt w:val="decimal"/>
      <w:pStyle w:val="PolLev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9E4618"/>
    <w:multiLevelType w:val="multilevel"/>
    <w:tmpl w:val="41C205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4C63E2"/>
    <w:multiLevelType w:val="hybridMultilevel"/>
    <w:tmpl w:val="310ACA8E"/>
    <w:lvl w:ilvl="0" w:tplc="38EE4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22DB5"/>
    <w:multiLevelType w:val="multilevel"/>
    <w:tmpl w:val="7F042B92"/>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FB587B"/>
    <w:multiLevelType w:val="hybridMultilevel"/>
    <w:tmpl w:val="756E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A5B"/>
    <w:multiLevelType w:val="multilevel"/>
    <w:tmpl w:val="1EF4DC16"/>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587C1E"/>
    <w:multiLevelType w:val="multilevel"/>
    <w:tmpl w:val="F58A46FA"/>
    <w:lvl w:ilvl="0">
      <w:start w:val="1"/>
      <w:numFmt w:val="decimal"/>
      <w:suff w:val="space"/>
      <w:lvlText w:val="Section %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9C6DA9"/>
    <w:multiLevelType w:val="multilevel"/>
    <w:tmpl w:val="F45E8000"/>
    <w:numStyleLink w:val="List1"/>
  </w:abstractNum>
  <w:abstractNum w:abstractNumId="9">
    <w:nsid w:val="28C71289"/>
    <w:multiLevelType w:val="hybridMultilevel"/>
    <w:tmpl w:val="69CE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9562D"/>
    <w:multiLevelType w:val="hybridMultilevel"/>
    <w:tmpl w:val="8A22B9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A68FE"/>
    <w:multiLevelType w:val="multilevel"/>
    <w:tmpl w:val="F45E8000"/>
    <w:styleLink w:val="List1"/>
    <w:lvl w:ilvl="0">
      <w:start w:val="1"/>
      <w:numFmt w:val="decimal"/>
      <w:suff w:val="space"/>
      <w:lvlText w:val="Section %1"/>
      <w:lvlJc w:val="left"/>
      <w:pPr>
        <w:ind w:left="360" w:hanging="360"/>
      </w:pPr>
      <w:rPr>
        <w:rFonts w:hint="default"/>
      </w:rPr>
    </w:lvl>
    <w:lvl w:ilvl="1">
      <w:start w:val="1"/>
      <w:numFmt w:val="decimal"/>
      <w:lvlText w:val="%1.%2."/>
      <w:lvlJc w:val="left"/>
      <w:pPr>
        <w:ind w:left="792" w:hanging="432"/>
      </w:pPr>
      <w:rPr>
        <w:rFonts w:ascii="Arial" w:hAnsi="Arial" w:hint="default"/>
        <w:b/>
        <w:sz w:val="26"/>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8F05F9"/>
    <w:multiLevelType w:val="multilevel"/>
    <w:tmpl w:val="82A8DE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57C1898"/>
    <w:multiLevelType w:val="multilevel"/>
    <w:tmpl w:val="F45E8000"/>
    <w:lvl w:ilvl="0">
      <w:start w:val="1"/>
      <w:numFmt w:val="decimal"/>
      <w:suff w:val="space"/>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2A3D9C"/>
    <w:multiLevelType w:val="hybridMultilevel"/>
    <w:tmpl w:val="A4606654"/>
    <w:lvl w:ilvl="0" w:tplc="830A776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56D62AE"/>
    <w:multiLevelType w:val="hybridMultilevel"/>
    <w:tmpl w:val="F5AA3498"/>
    <w:lvl w:ilvl="0" w:tplc="E2B60652">
      <w:start w:val="1"/>
      <w:numFmt w:val="lowerLetter"/>
      <w:lvlText w:val="(%1)"/>
      <w:lvlJc w:val="left"/>
      <w:pPr>
        <w:ind w:left="720" w:hanging="360"/>
      </w:pPr>
      <w:rPr>
        <w:rFonts w:ascii="Arial" w:eastAsiaTheme="minorHAnsi" w:hAnsi="Arial"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835147"/>
    <w:multiLevelType w:val="hybridMultilevel"/>
    <w:tmpl w:val="98BCC998"/>
    <w:lvl w:ilvl="0" w:tplc="04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72502E91"/>
    <w:multiLevelType w:val="hybridMultilevel"/>
    <w:tmpl w:val="29AE7BFC"/>
    <w:lvl w:ilvl="0" w:tplc="E2B60652">
      <w:start w:val="1"/>
      <w:numFmt w:val="lowerLetter"/>
      <w:lvlText w:val="(%1)"/>
      <w:lvlJc w:val="left"/>
      <w:pPr>
        <w:ind w:left="1440" w:hanging="720"/>
      </w:pPr>
      <w:rPr>
        <w:rFonts w:ascii="Arial" w:eastAsiaTheme="minorHAnsi" w:hAnsi="Arial"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2A86572"/>
    <w:multiLevelType w:val="hybridMultilevel"/>
    <w:tmpl w:val="3ABA5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594DAF"/>
    <w:multiLevelType w:val="hybridMultilevel"/>
    <w:tmpl w:val="FAAE770E"/>
    <w:lvl w:ilvl="0" w:tplc="830A776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3"/>
  </w:num>
  <w:num w:numId="6">
    <w:abstractNumId w:val="11"/>
  </w:num>
  <w:num w:numId="7">
    <w:abstractNumId w:val="8"/>
  </w:num>
  <w:num w:numId="8">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 %2."/>
        <w:lvlJc w:val="left"/>
        <w:pPr>
          <w:ind w:left="0" w:firstLine="360"/>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360" w:hanging="360"/>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648" w:hanging="648"/>
        </w:pPr>
        <w:rPr>
          <w:rFonts w:hint="default"/>
        </w:rPr>
      </w:lvl>
    </w:lvlOverride>
    <w:lvlOverride w:ilvl="2">
      <w:lvl w:ilvl="2">
        <w:start w:val="1"/>
        <w:numFmt w:val="decimal"/>
        <w:pStyle w:val="ListParagraph"/>
        <w:lvlText w:val="%1.%2.%3."/>
        <w:lvlJc w:val="left"/>
        <w:pPr>
          <w:ind w:left="1224" w:hanging="504"/>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num>
  <w:num w:numId="12">
    <w:abstractNumId w:val="7"/>
  </w:num>
  <w:num w:numId="13">
    <w:abstractNumId w:val="4"/>
  </w:num>
  <w:num w:numId="14">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num>
  <w:num w:numId="16">
    <w:abstractNumId w:val="18"/>
  </w:num>
  <w:num w:numId="17">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
  </w:num>
  <w:num w:numId="19">
    <w:abstractNumId w:val="10"/>
  </w:num>
  <w:num w:numId="20">
    <w:abstractNumId w:val="1"/>
    <w:lvlOverride w:ilvl="0">
      <w:lvl w:ilvl="0">
        <w:start w:val="1"/>
        <w:numFmt w:val="decimal"/>
        <w:pStyle w:val="Heading2"/>
        <w:suff w:val="space"/>
        <w:lvlText w:val="Section %1"/>
        <w:lvlJc w:val="left"/>
        <w:pPr>
          <w:ind w:left="360" w:hanging="360"/>
        </w:pPr>
        <w:rPr>
          <w:rFonts w:hint="default"/>
        </w:rPr>
      </w:lvl>
    </w:lvlOverride>
    <w:lvlOverride w:ilvl="1">
      <w:lvl w:ilvl="1">
        <w:start w:val="1"/>
        <w:numFmt w:val="decimal"/>
        <w:pStyle w:val="PolLev1"/>
        <w:lvlText w:val="%1.%2."/>
        <w:lvlJc w:val="left"/>
        <w:pPr>
          <w:ind w:left="547" w:hanging="547"/>
        </w:pPr>
        <w:rPr>
          <w:rFonts w:hint="default"/>
        </w:rPr>
      </w:lvl>
    </w:lvlOverride>
    <w:lvlOverride w:ilvl="2">
      <w:lvl w:ilvl="2">
        <w:start w:val="1"/>
        <w:numFmt w:val="decimal"/>
        <w:pStyle w:val="ListParagraph"/>
        <w:lvlText w:val="%1.%2.%3."/>
        <w:lvlJc w:val="left"/>
        <w:pPr>
          <w:ind w:left="1354" w:hanging="807"/>
        </w:pPr>
        <w:rPr>
          <w:rFonts w:hint="default"/>
        </w:rPr>
      </w:lvl>
    </w:lvlOverride>
    <w:lvlOverride w:ilvl="3">
      <w:lvl w:ilvl="3">
        <w:start w:val="1"/>
        <w:numFmt w:val="decimal"/>
        <w:pStyle w:val="PolLev3"/>
        <w:lvlText w:val="%1.%2.%3.%4."/>
        <w:lvlJc w:val="left"/>
        <w:pPr>
          <w:ind w:left="1728" w:hanging="648"/>
        </w:pPr>
        <w:rPr>
          <w:rFonts w:hint="default"/>
        </w:rPr>
      </w:lvl>
    </w:lvlOverride>
    <w:lvlOverride w:ilvl="4">
      <w:lvl w:ilvl="4">
        <w:start w:val="1"/>
        <w:numFmt w:val="decimal"/>
        <w:pStyle w:val="PolLev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4"/>
  </w:num>
  <w:num w:numId="22">
    <w:abstractNumId w:val="2"/>
  </w:num>
  <w:num w:numId="23">
    <w:abstractNumId w:val="17"/>
  </w:num>
  <w:num w:numId="24">
    <w:abstractNumId w:val="16"/>
  </w:num>
  <w:num w:numId="25">
    <w:abstractNumId w:val="19"/>
  </w:num>
  <w:num w:numId="26">
    <w:abstractNumId w:val="12"/>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3E"/>
    <w:rsid w:val="0000426E"/>
    <w:rsid w:val="00035E4D"/>
    <w:rsid w:val="00041EA7"/>
    <w:rsid w:val="000557AF"/>
    <w:rsid w:val="00075081"/>
    <w:rsid w:val="000920AB"/>
    <w:rsid w:val="00095551"/>
    <w:rsid w:val="000D7566"/>
    <w:rsid w:val="000E24D8"/>
    <w:rsid w:val="000F0FB5"/>
    <w:rsid w:val="00110122"/>
    <w:rsid w:val="001137C2"/>
    <w:rsid w:val="00115DC1"/>
    <w:rsid w:val="00134EE1"/>
    <w:rsid w:val="00135839"/>
    <w:rsid w:val="00164E53"/>
    <w:rsid w:val="00183C3D"/>
    <w:rsid w:val="00190C06"/>
    <w:rsid w:val="001A0F13"/>
    <w:rsid w:val="001A5276"/>
    <w:rsid w:val="001B02AE"/>
    <w:rsid w:val="001C1D42"/>
    <w:rsid w:val="001E1331"/>
    <w:rsid w:val="00234A10"/>
    <w:rsid w:val="00251A9F"/>
    <w:rsid w:val="00256A84"/>
    <w:rsid w:val="00257D2F"/>
    <w:rsid w:val="00260815"/>
    <w:rsid w:val="002F15CA"/>
    <w:rsid w:val="00327CCB"/>
    <w:rsid w:val="0034480A"/>
    <w:rsid w:val="003513C9"/>
    <w:rsid w:val="003605DE"/>
    <w:rsid w:val="00385E05"/>
    <w:rsid w:val="003A1EE6"/>
    <w:rsid w:val="003A2CD9"/>
    <w:rsid w:val="003A4144"/>
    <w:rsid w:val="003A6DFA"/>
    <w:rsid w:val="003D4298"/>
    <w:rsid w:val="003E6ECC"/>
    <w:rsid w:val="00416C3F"/>
    <w:rsid w:val="00434550"/>
    <w:rsid w:val="0044642D"/>
    <w:rsid w:val="00495BB0"/>
    <w:rsid w:val="004A200D"/>
    <w:rsid w:val="004D208A"/>
    <w:rsid w:val="004D49C0"/>
    <w:rsid w:val="004D518E"/>
    <w:rsid w:val="004D5D29"/>
    <w:rsid w:val="00504FCB"/>
    <w:rsid w:val="00510A5B"/>
    <w:rsid w:val="00522263"/>
    <w:rsid w:val="00525544"/>
    <w:rsid w:val="005657F3"/>
    <w:rsid w:val="005717F4"/>
    <w:rsid w:val="005941D3"/>
    <w:rsid w:val="005F5012"/>
    <w:rsid w:val="005F6EDF"/>
    <w:rsid w:val="00633F03"/>
    <w:rsid w:val="00642A4E"/>
    <w:rsid w:val="00676386"/>
    <w:rsid w:val="006A5ED1"/>
    <w:rsid w:val="006B7DE3"/>
    <w:rsid w:val="006C0648"/>
    <w:rsid w:val="006E5E81"/>
    <w:rsid w:val="006E6AB2"/>
    <w:rsid w:val="006E7A6B"/>
    <w:rsid w:val="006F1037"/>
    <w:rsid w:val="0070123F"/>
    <w:rsid w:val="007074CF"/>
    <w:rsid w:val="00713F62"/>
    <w:rsid w:val="00734189"/>
    <w:rsid w:val="0074052C"/>
    <w:rsid w:val="00740A6C"/>
    <w:rsid w:val="00776B9A"/>
    <w:rsid w:val="007979EC"/>
    <w:rsid w:val="007A3960"/>
    <w:rsid w:val="007A6412"/>
    <w:rsid w:val="007F1B0D"/>
    <w:rsid w:val="007F1D38"/>
    <w:rsid w:val="007F347B"/>
    <w:rsid w:val="00806C2C"/>
    <w:rsid w:val="00830E9F"/>
    <w:rsid w:val="0083290B"/>
    <w:rsid w:val="0083603A"/>
    <w:rsid w:val="00906E70"/>
    <w:rsid w:val="00913275"/>
    <w:rsid w:val="00935006"/>
    <w:rsid w:val="009C4B57"/>
    <w:rsid w:val="009E279E"/>
    <w:rsid w:val="009E69CA"/>
    <w:rsid w:val="009F5329"/>
    <w:rsid w:val="00A028BD"/>
    <w:rsid w:val="00A152D0"/>
    <w:rsid w:val="00A15AFC"/>
    <w:rsid w:val="00A1728D"/>
    <w:rsid w:val="00A3750E"/>
    <w:rsid w:val="00A51B83"/>
    <w:rsid w:val="00A62060"/>
    <w:rsid w:val="00A92831"/>
    <w:rsid w:val="00AA773D"/>
    <w:rsid w:val="00AB7365"/>
    <w:rsid w:val="00AD4F2A"/>
    <w:rsid w:val="00AF47F7"/>
    <w:rsid w:val="00B10053"/>
    <w:rsid w:val="00B34229"/>
    <w:rsid w:val="00B45431"/>
    <w:rsid w:val="00B64892"/>
    <w:rsid w:val="00BA3A5F"/>
    <w:rsid w:val="00BA57DC"/>
    <w:rsid w:val="00BB1694"/>
    <w:rsid w:val="00BB6E29"/>
    <w:rsid w:val="00BC4F46"/>
    <w:rsid w:val="00BD77B1"/>
    <w:rsid w:val="00BF6DF8"/>
    <w:rsid w:val="00C14F1A"/>
    <w:rsid w:val="00C16DDD"/>
    <w:rsid w:val="00C21633"/>
    <w:rsid w:val="00C55224"/>
    <w:rsid w:val="00CA2993"/>
    <w:rsid w:val="00CA6B12"/>
    <w:rsid w:val="00CD1DAD"/>
    <w:rsid w:val="00CD4336"/>
    <w:rsid w:val="00CE2775"/>
    <w:rsid w:val="00CF057C"/>
    <w:rsid w:val="00CF2ED2"/>
    <w:rsid w:val="00D0079D"/>
    <w:rsid w:val="00D04EC9"/>
    <w:rsid w:val="00D06696"/>
    <w:rsid w:val="00D334B3"/>
    <w:rsid w:val="00D52F03"/>
    <w:rsid w:val="00D61F36"/>
    <w:rsid w:val="00D823A5"/>
    <w:rsid w:val="00DA4A5A"/>
    <w:rsid w:val="00DF4FE0"/>
    <w:rsid w:val="00E05289"/>
    <w:rsid w:val="00E079D5"/>
    <w:rsid w:val="00E15E3E"/>
    <w:rsid w:val="00E81762"/>
    <w:rsid w:val="00E85A2A"/>
    <w:rsid w:val="00E958D1"/>
    <w:rsid w:val="00EB6EB1"/>
    <w:rsid w:val="00ED77B2"/>
    <w:rsid w:val="00EE1513"/>
    <w:rsid w:val="00EE388B"/>
    <w:rsid w:val="00F13199"/>
    <w:rsid w:val="00F26E1F"/>
    <w:rsid w:val="00F31797"/>
    <w:rsid w:val="00F46077"/>
    <w:rsid w:val="00F47097"/>
    <w:rsid w:val="00F7174A"/>
    <w:rsid w:val="00F75524"/>
    <w:rsid w:val="00F80119"/>
    <w:rsid w:val="00F90546"/>
    <w:rsid w:val="00FB39FA"/>
    <w:rsid w:val="00FB4C79"/>
    <w:rsid w:val="00FB5F07"/>
    <w:rsid w:val="00FC6A19"/>
    <w:rsid w:val="00FE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0557AF"/>
    <w:pPr>
      <w:keepNext/>
      <w:keepLines/>
      <w:numPr>
        <w:numId w:val="3"/>
      </w:numPr>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3"/>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0557AF"/>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1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6"/>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3"/>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3"/>
      </w:numPr>
      <w:ind w:left="3510" w:hanging="1170"/>
    </w:pPr>
  </w:style>
  <w:style w:type="character" w:styleId="Hyperlink">
    <w:name w:val="Hyperlink"/>
    <w:basedOn w:val="DefaultParagraphFont"/>
    <w:uiPriority w:val="99"/>
    <w:unhideWhenUsed/>
    <w:rsid w:val="00256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3960"/>
    <w:rPr>
      <w:rFonts w:ascii="Arial" w:hAnsi="Arial"/>
      <w:sz w:val="24"/>
    </w:rPr>
  </w:style>
  <w:style w:type="paragraph" w:styleId="Heading1">
    <w:name w:val="heading 1"/>
    <w:basedOn w:val="Normal"/>
    <w:next w:val="Normal"/>
    <w:link w:val="Heading1Char"/>
    <w:autoRedefine/>
    <w:uiPriority w:val="9"/>
    <w:rsid w:val="007A3960"/>
    <w:pPr>
      <w:keepNext/>
      <w:keepLines/>
      <w:spacing w:before="120" w:after="240"/>
      <w:jc w:val="center"/>
      <w:outlineLvl w:val="0"/>
    </w:pPr>
    <w:rPr>
      <w:rFonts w:eastAsiaTheme="majorEastAsia" w:cstheme="majorBidi"/>
      <w:b/>
      <w:bCs/>
      <w:color w:val="1D449B"/>
      <w:sz w:val="36"/>
      <w:szCs w:val="32"/>
    </w:rPr>
  </w:style>
  <w:style w:type="paragraph" w:styleId="Heading2">
    <w:name w:val="heading 2"/>
    <w:aliases w:val="PoliSect"/>
    <w:basedOn w:val="Normal"/>
    <w:next w:val="Normal"/>
    <w:link w:val="Heading2Char"/>
    <w:autoRedefine/>
    <w:uiPriority w:val="9"/>
    <w:unhideWhenUsed/>
    <w:qFormat/>
    <w:rsid w:val="000557AF"/>
    <w:pPr>
      <w:keepNext/>
      <w:keepLines/>
      <w:numPr>
        <w:numId w:val="3"/>
      </w:numPr>
      <w:spacing w:after="480"/>
      <w:jc w:val="cente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unhideWhenUsed/>
    <w:rsid w:val="004D208A"/>
    <w:pPr>
      <w:keepNext/>
      <w:keepLines/>
      <w:spacing w:after="120"/>
      <w:outlineLvl w:val="2"/>
    </w:pPr>
    <w:rPr>
      <w:rFonts w:eastAsiaTheme="majorEastAsia" w:cstheme="majorBidi"/>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Lev1">
    <w:name w:val="PolLev1"/>
    <w:basedOn w:val="Heading3"/>
    <w:qFormat/>
    <w:rsid w:val="006E5E81"/>
    <w:pPr>
      <w:numPr>
        <w:ilvl w:val="1"/>
        <w:numId w:val="3"/>
      </w:numPr>
    </w:pPr>
    <w:rPr>
      <w:sz w:val="28"/>
      <w:szCs w:val="28"/>
    </w:rPr>
  </w:style>
  <w:style w:type="character" w:customStyle="1" w:styleId="Heading1Char">
    <w:name w:val="Heading 1 Char"/>
    <w:basedOn w:val="DefaultParagraphFont"/>
    <w:link w:val="Heading1"/>
    <w:uiPriority w:val="9"/>
    <w:rsid w:val="007A3960"/>
    <w:rPr>
      <w:rFonts w:ascii="Arial" w:eastAsiaTheme="majorEastAsia" w:hAnsi="Arial" w:cstheme="majorBidi"/>
      <w:b/>
      <w:bCs/>
      <w:color w:val="1D449B"/>
      <w:sz w:val="36"/>
      <w:szCs w:val="32"/>
    </w:rPr>
  </w:style>
  <w:style w:type="character" w:customStyle="1" w:styleId="Heading2Char">
    <w:name w:val="Heading 2 Char"/>
    <w:aliases w:val="PoliSect Char"/>
    <w:basedOn w:val="DefaultParagraphFont"/>
    <w:link w:val="Heading2"/>
    <w:uiPriority w:val="9"/>
    <w:rsid w:val="000557AF"/>
    <w:rPr>
      <w:rFonts w:ascii="Arial" w:eastAsiaTheme="majorEastAsia" w:hAnsi="Arial" w:cstheme="majorBidi"/>
      <w:b/>
      <w:bCs/>
      <w:sz w:val="28"/>
      <w:szCs w:val="28"/>
    </w:rPr>
  </w:style>
  <w:style w:type="paragraph" w:styleId="TOC1">
    <w:name w:val="toc 1"/>
    <w:basedOn w:val="Normal"/>
    <w:next w:val="Normal"/>
    <w:autoRedefine/>
    <w:uiPriority w:val="39"/>
    <w:unhideWhenUsed/>
    <w:rsid w:val="00F80119"/>
    <w:pPr>
      <w:tabs>
        <w:tab w:val="right" w:leader="dot" w:pos="9720"/>
      </w:tabs>
      <w:spacing w:before="360"/>
    </w:pPr>
    <w:rPr>
      <w:rFonts w:eastAsiaTheme="minorEastAsia"/>
      <w:b/>
      <w:bCs/>
      <w:caps/>
      <w:color w:val="1D449B"/>
      <w:sz w:val="26"/>
      <w:szCs w:val="26"/>
    </w:rPr>
  </w:style>
  <w:style w:type="character" w:customStyle="1" w:styleId="Heading3Char">
    <w:name w:val="Heading 3 Char"/>
    <w:basedOn w:val="DefaultParagraphFont"/>
    <w:link w:val="Heading3"/>
    <w:uiPriority w:val="9"/>
    <w:rsid w:val="004D208A"/>
    <w:rPr>
      <w:rFonts w:ascii="Arial" w:eastAsiaTheme="majorEastAsia" w:hAnsi="Arial" w:cstheme="majorBidi"/>
      <w:b/>
      <w:bCs/>
      <w:sz w:val="26"/>
      <w:u w:val="single"/>
    </w:rPr>
  </w:style>
  <w:style w:type="table" w:styleId="TableGrid">
    <w:name w:val="Table Grid"/>
    <w:basedOn w:val="TableNormal"/>
    <w:uiPriority w:val="59"/>
    <w:rsid w:val="0063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hAnsi="Tahoma" w:cs="Tahoma"/>
      <w:sz w:val="16"/>
      <w:szCs w:val="16"/>
    </w:rPr>
  </w:style>
  <w:style w:type="paragraph" w:styleId="Header">
    <w:name w:val="header"/>
    <w:basedOn w:val="Normal"/>
    <w:link w:val="HeaderChar"/>
    <w:uiPriority w:val="99"/>
    <w:unhideWhenUsed/>
    <w:rsid w:val="00A3750E"/>
    <w:pPr>
      <w:tabs>
        <w:tab w:val="center" w:pos="4680"/>
        <w:tab w:val="right" w:pos="9360"/>
      </w:tabs>
    </w:pPr>
  </w:style>
  <w:style w:type="character" w:customStyle="1" w:styleId="HeaderChar">
    <w:name w:val="Header Char"/>
    <w:basedOn w:val="DefaultParagraphFont"/>
    <w:link w:val="Header"/>
    <w:uiPriority w:val="99"/>
    <w:rsid w:val="00A3750E"/>
    <w:rPr>
      <w:rFonts w:ascii="Arial" w:hAnsi="Arial"/>
      <w:sz w:val="24"/>
    </w:rPr>
  </w:style>
  <w:style w:type="paragraph" w:styleId="Footer">
    <w:name w:val="footer"/>
    <w:basedOn w:val="Normal"/>
    <w:link w:val="FooterChar"/>
    <w:uiPriority w:val="99"/>
    <w:unhideWhenUsed/>
    <w:rsid w:val="00A3750E"/>
    <w:pPr>
      <w:tabs>
        <w:tab w:val="center" w:pos="4680"/>
        <w:tab w:val="right" w:pos="9360"/>
      </w:tabs>
    </w:pPr>
  </w:style>
  <w:style w:type="character" w:customStyle="1" w:styleId="FooterChar">
    <w:name w:val="Footer Char"/>
    <w:basedOn w:val="DefaultParagraphFont"/>
    <w:link w:val="Footer"/>
    <w:uiPriority w:val="99"/>
    <w:rsid w:val="00A3750E"/>
    <w:rPr>
      <w:rFonts w:ascii="Arial" w:hAnsi="Arial"/>
      <w:sz w:val="24"/>
    </w:rPr>
  </w:style>
  <w:style w:type="paragraph" w:styleId="ListParagraph">
    <w:name w:val="List Paragraph"/>
    <w:aliases w:val="PolLev2"/>
    <w:basedOn w:val="Normal"/>
    <w:uiPriority w:val="34"/>
    <w:qFormat/>
    <w:rsid w:val="005657F3"/>
    <w:pPr>
      <w:numPr>
        <w:ilvl w:val="2"/>
        <w:numId w:val="14"/>
      </w:numPr>
      <w:contextualSpacing/>
    </w:pPr>
  </w:style>
  <w:style w:type="character" w:styleId="PlaceholderText">
    <w:name w:val="Placeholder Text"/>
    <w:basedOn w:val="DefaultParagraphFont"/>
    <w:uiPriority w:val="99"/>
    <w:semiHidden/>
    <w:rsid w:val="009E69CA"/>
    <w:rPr>
      <w:color w:val="808080"/>
    </w:rPr>
  </w:style>
  <w:style w:type="numbering" w:customStyle="1" w:styleId="List1">
    <w:name w:val="List1"/>
    <w:uiPriority w:val="99"/>
    <w:rsid w:val="00CF057C"/>
    <w:pPr>
      <w:numPr>
        <w:numId w:val="6"/>
      </w:numPr>
    </w:pPr>
  </w:style>
  <w:style w:type="paragraph" w:customStyle="1" w:styleId="PolicyName">
    <w:name w:val="PolicyName"/>
    <w:basedOn w:val="Heading1"/>
    <w:link w:val="PolicyNameChar"/>
    <w:qFormat/>
    <w:rsid w:val="006E6AB2"/>
    <w:rPr>
      <w:sz w:val="40"/>
      <w:szCs w:val="40"/>
    </w:rPr>
  </w:style>
  <w:style w:type="paragraph" w:customStyle="1" w:styleId="PolLev3">
    <w:name w:val="PolLev3"/>
    <w:basedOn w:val="ListParagraph"/>
    <w:qFormat/>
    <w:rsid w:val="006E7A6B"/>
    <w:pPr>
      <w:numPr>
        <w:ilvl w:val="3"/>
        <w:numId w:val="3"/>
      </w:numPr>
      <w:ind w:left="2340" w:hanging="990"/>
    </w:pPr>
  </w:style>
  <w:style w:type="character" w:customStyle="1" w:styleId="PolicyNameChar">
    <w:name w:val="PolicyName Char"/>
    <w:basedOn w:val="Heading1Char"/>
    <w:link w:val="PolicyName"/>
    <w:rsid w:val="006E6AB2"/>
    <w:rPr>
      <w:rFonts w:ascii="Arial" w:eastAsiaTheme="majorEastAsia" w:hAnsi="Arial" w:cstheme="majorBidi"/>
      <w:b/>
      <w:bCs/>
      <w:color w:val="1D449B"/>
      <w:sz w:val="40"/>
      <w:szCs w:val="40"/>
    </w:rPr>
  </w:style>
  <w:style w:type="paragraph" w:customStyle="1" w:styleId="PolLev4">
    <w:name w:val="PolLev4"/>
    <w:basedOn w:val="ListParagraph"/>
    <w:qFormat/>
    <w:rsid w:val="006E7A6B"/>
    <w:pPr>
      <w:numPr>
        <w:ilvl w:val="4"/>
        <w:numId w:val="3"/>
      </w:numPr>
      <w:ind w:left="3510" w:hanging="1170"/>
    </w:pPr>
  </w:style>
  <w:style w:type="character" w:styleId="Hyperlink">
    <w:name w:val="Hyperlink"/>
    <w:basedOn w:val="DefaultParagraphFont"/>
    <w:uiPriority w:val="99"/>
    <w:unhideWhenUsed/>
    <w:rsid w:val="00256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4p03"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c.on.ca/english/decisions-and-resolutions/The-Ac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ct%20Work\Anne\LAMP%20Manuals\NEW%20!%20!%20!\~NEW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71D684A74D4AA09B0A9AAC9799715D"/>
        <w:category>
          <w:name w:val="General"/>
          <w:gallery w:val="placeholder"/>
        </w:category>
        <w:types>
          <w:type w:val="bbPlcHdr"/>
        </w:types>
        <w:behaviors>
          <w:behavior w:val="content"/>
        </w:behaviors>
        <w:guid w:val="{550ACE38-25F3-4D72-8D48-965B1CAAF8AC}"/>
      </w:docPartPr>
      <w:docPartBody>
        <w:p w:rsidR="0072098B" w:rsidRDefault="0072098B">
          <w:pPr>
            <w:pStyle w:val="7471D684A74D4AA09B0A9AAC9799715D"/>
          </w:pPr>
          <w:r w:rsidRPr="00BF5DBA">
            <w:rPr>
              <w:rStyle w:val="PlaceholderText"/>
            </w:rPr>
            <w:t>Click here to enter text.</w:t>
          </w:r>
        </w:p>
      </w:docPartBody>
    </w:docPart>
    <w:docPart>
      <w:docPartPr>
        <w:name w:val="7F91DAC278B9485B96059247C1F1196A"/>
        <w:category>
          <w:name w:val="General"/>
          <w:gallery w:val="placeholder"/>
        </w:category>
        <w:types>
          <w:type w:val="bbPlcHdr"/>
        </w:types>
        <w:behaviors>
          <w:behavior w:val="content"/>
        </w:behaviors>
        <w:guid w:val="{3BA51405-1848-429F-B225-A594A9B23EA4}"/>
      </w:docPartPr>
      <w:docPartBody>
        <w:p w:rsidR="0072098B" w:rsidRDefault="0072098B">
          <w:pPr>
            <w:pStyle w:val="7F91DAC278B9485B96059247C1F1196A"/>
          </w:pPr>
          <w:r w:rsidRPr="00BF5DBA">
            <w:rPr>
              <w:rStyle w:val="PlaceholderText"/>
            </w:rPr>
            <w:t>Click here to enter text.</w:t>
          </w:r>
        </w:p>
      </w:docPartBody>
    </w:docPart>
    <w:docPart>
      <w:docPartPr>
        <w:name w:val="0D44A08F892247979EB45592C171502C"/>
        <w:category>
          <w:name w:val="General"/>
          <w:gallery w:val="placeholder"/>
        </w:category>
        <w:types>
          <w:type w:val="bbPlcHdr"/>
        </w:types>
        <w:behaviors>
          <w:behavior w:val="content"/>
        </w:behaviors>
        <w:guid w:val="{66E38AA7-3D7A-4C09-9DC2-A9C6D94AE15A}"/>
      </w:docPartPr>
      <w:docPartBody>
        <w:p w:rsidR="0072098B" w:rsidRDefault="0072098B">
          <w:pPr>
            <w:pStyle w:val="0D44A08F892247979EB45592C171502C"/>
          </w:pPr>
          <w:r w:rsidRPr="00BF5DBA">
            <w:rPr>
              <w:rStyle w:val="PlaceholderText"/>
            </w:rPr>
            <w:t>Click here to enter text.</w:t>
          </w:r>
        </w:p>
      </w:docPartBody>
    </w:docPart>
    <w:docPart>
      <w:docPartPr>
        <w:name w:val="9F56844CE97241678C5FE95FC387A637"/>
        <w:category>
          <w:name w:val="General"/>
          <w:gallery w:val="placeholder"/>
        </w:category>
        <w:types>
          <w:type w:val="bbPlcHdr"/>
        </w:types>
        <w:behaviors>
          <w:behavior w:val="content"/>
        </w:behaviors>
        <w:guid w:val="{B8981683-1013-4345-8459-53E84006BCF5}"/>
      </w:docPartPr>
      <w:docPartBody>
        <w:p w:rsidR="0072098B" w:rsidRDefault="0072098B">
          <w:pPr>
            <w:pStyle w:val="9F56844CE97241678C5FE95FC387A637"/>
          </w:pPr>
          <w:r w:rsidRPr="00BF5D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8B"/>
    <w:rsid w:val="002D213D"/>
    <w:rsid w:val="0072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13D"/>
    <w:rPr>
      <w:color w:val="808080"/>
    </w:rPr>
  </w:style>
  <w:style w:type="paragraph" w:customStyle="1" w:styleId="7471D684A74D4AA09B0A9AAC9799715D">
    <w:name w:val="7471D684A74D4AA09B0A9AAC9799715D"/>
  </w:style>
  <w:style w:type="paragraph" w:customStyle="1" w:styleId="7F91DAC278B9485B96059247C1F1196A">
    <w:name w:val="7F91DAC278B9485B96059247C1F1196A"/>
  </w:style>
  <w:style w:type="paragraph" w:customStyle="1" w:styleId="0D44A08F892247979EB45592C171502C">
    <w:name w:val="0D44A08F892247979EB45592C171502C"/>
  </w:style>
  <w:style w:type="paragraph" w:customStyle="1" w:styleId="9F56844CE97241678C5FE95FC387A637">
    <w:name w:val="9F56844CE97241678C5FE95FC387A637"/>
  </w:style>
  <w:style w:type="paragraph" w:customStyle="1" w:styleId="96286FC0ED1743D1BA01B208B6C51292">
    <w:name w:val="96286FC0ED1743D1BA01B208B6C51292"/>
    <w:rsid w:val="002D2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13D"/>
    <w:rPr>
      <w:color w:val="808080"/>
    </w:rPr>
  </w:style>
  <w:style w:type="paragraph" w:customStyle="1" w:styleId="7471D684A74D4AA09B0A9AAC9799715D">
    <w:name w:val="7471D684A74D4AA09B0A9AAC9799715D"/>
  </w:style>
  <w:style w:type="paragraph" w:customStyle="1" w:styleId="7F91DAC278B9485B96059247C1F1196A">
    <w:name w:val="7F91DAC278B9485B96059247C1F1196A"/>
  </w:style>
  <w:style w:type="paragraph" w:customStyle="1" w:styleId="0D44A08F892247979EB45592C171502C">
    <w:name w:val="0D44A08F892247979EB45592C171502C"/>
  </w:style>
  <w:style w:type="paragraph" w:customStyle="1" w:styleId="9F56844CE97241678C5FE95FC387A637">
    <w:name w:val="9F56844CE97241678C5FE95FC387A637"/>
  </w:style>
  <w:style w:type="paragraph" w:customStyle="1" w:styleId="96286FC0ED1743D1BA01B208B6C51292">
    <w:name w:val="96286FC0ED1743D1BA01B208B6C51292"/>
    <w:rsid w:val="002D2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~NEW_Template</Template>
  <TotalTime>17</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LAMPCHC</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Whaley</dc:creator>
  <cp:lastModifiedBy>Catherine Whaley</cp:lastModifiedBy>
  <cp:revision>12</cp:revision>
  <cp:lastPrinted>2017-04-25T16:33:00Z</cp:lastPrinted>
  <dcterms:created xsi:type="dcterms:W3CDTF">2016-06-06T19:10:00Z</dcterms:created>
  <dcterms:modified xsi:type="dcterms:W3CDTF">2017-10-05T15:19:00Z</dcterms:modified>
</cp:coreProperties>
</file>